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928D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DD603B" wp14:editId="28C192C6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5287984" wp14:editId="1CCA90A7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21C0606" wp14:editId="281FE63A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14F0" wp14:editId="4BC01B2C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34B0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14:paraId="44F50546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D014F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14:paraId="23DF34B0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14:paraId="44F50546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4F9D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7870DBE1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1CB04AD7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3233D69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09BB8F49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14:paraId="7B749ABD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14:paraId="43613FD8" w14:textId="76457CA4"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 xml:space="preserve">La suscrita, Diputada </w:t>
      </w:r>
      <w:proofErr w:type="spellStart"/>
      <w:r w:rsidRPr="003F33DA">
        <w:rPr>
          <w:rFonts w:ascii="Arial" w:hAnsi="Arial" w:cs="Arial"/>
          <w:sz w:val="26"/>
          <w:szCs w:val="26"/>
        </w:rPr>
        <w:t>Kathia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María </w:t>
      </w:r>
      <w:proofErr w:type="spellStart"/>
      <w:r w:rsidRPr="003F33DA">
        <w:rPr>
          <w:rFonts w:ascii="Arial" w:hAnsi="Arial" w:cs="Arial"/>
          <w:sz w:val="26"/>
          <w:szCs w:val="26"/>
        </w:rPr>
        <w:t>Bolio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F33DA">
        <w:rPr>
          <w:rFonts w:ascii="Arial" w:hAnsi="Arial" w:cs="Arial"/>
          <w:sz w:val="26"/>
          <w:szCs w:val="26"/>
        </w:rPr>
        <w:t>Pinelo</w:t>
      </w:r>
      <w:proofErr w:type="spellEnd"/>
      <w:r w:rsidRPr="003F33DA">
        <w:rPr>
          <w:rFonts w:ascii="Arial" w:hAnsi="Arial" w:cs="Arial"/>
          <w:sz w:val="26"/>
          <w:szCs w:val="26"/>
        </w:rPr>
        <w:t xml:space="preserve">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3F33DA" w:rsidRPr="008869C2">
        <w:rPr>
          <w:rFonts w:ascii="Arial" w:hAnsi="Arial" w:cs="Arial"/>
          <w:b/>
          <w:sz w:val="26"/>
          <w:szCs w:val="26"/>
        </w:rPr>
        <w:t>INICIATIVA CON PROYECTO DE DECRETO QUE</w:t>
      </w:r>
      <w:r w:rsidR="007972D4" w:rsidRPr="008869C2">
        <w:rPr>
          <w:rFonts w:ascii="Arial" w:hAnsi="Arial" w:cs="Arial"/>
          <w:b/>
          <w:sz w:val="26"/>
          <w:szCs w:val="26"/>
        </w:rPr>
        <w:t xml:space="preserve"> </w:t>
      </w:r>
      <w:r w:rsidR="00D96FBB">
        <w:rPr>
          <w:rFonts w:ascii="Arial" w:hAnsi="Arial" w:cs="Arial"/>
          <w:b/>
          <w:sz w:val="26"/>
          <w:szCs w:val="26"/>
        </w:rPr>
        <w:t>REFORMA UN</w:t>
      </w:r>
      <w:r w:rsidR="009C2665" w:rsidRPr="008869C2">
        <w:rPr>
          <w:rFonts w:ascii="Arial" w:hAnsi="Arial" w:cs="Arial"/>
          <w:b/>
          <w:sz w:val="26"/>
          <w:szCs w:val="26"/>
        </w:rPr>
        <w:t xml:space="preserve"> ARTÍCULO</w:t>
      </w:r>
      <w:r w:rsidR="007D7BD9" w:rsidRPr="008869C2">
        <w:rPr>
          <w:rFonts w:ascii="Arial" w:hAnsi="Arial" w:cs="Arial"/>
          <w:b/>
          <w:sz w:val="26"/>
          <w:szCs w:val="26"/>
        </w:rPr>
        <w:t xml:space="preserve"> </w:t>
      </w:r>
      <w:r w:rsidR="00735FB3">
        <w:rPr>
          <w:rFonts w:ascii="Arial" w:hAnsi="Arial" w:cs="Arial"/>
          <w:b/>
          <w:sz w:val="26"/>
          <w:szCs w:val="26"/>
        </w:rPr>
        <w:t xml:space="preserve">DEL </w:t>
      </w:r>
      <w:r w:rsidR="008869C2" w:rsidRPr="008869C2">
        <w:rPr>
          <w:rFonts w:ascii="Arial" w:hAnsi="Arial" w:cs="Arial"/>
          <w:b/>
          <w:sz w:val="26"/>
          <w:szCs w:val="26"/>
        </w:rPr>
        <w:t>CÓDIGO PENAL DEL ESTADO DE</w:t>
      </w:r>
      <w:r w:rsidR="008869C2">
        <w:rPr>
          <w:rFonts w:ascii="Arial" w:hAnsi="Arial" w:cs="Arial"/>
          <w:b/>
          <w:sz w:val="26"/>
          <w:szCs w:val="26"/>
        </w:rPr>
        <w:t xml:space="preserve"> YUCATÁN EN MATERIA</w:t>
      </w:r>
      <w:r w:rsidR="00D96FBB">
        <w:rPr>
          <w:rFonts w:ascii="Arial" w:hAnsi="Arial" w:cs="Arial"/>
          <w:b/>
          <w:sz w:val="26"/>
          <w:szCs w:val="26"/>
        </w:rPr>
        <w:t xml:space="preserve"> DE DELITOS GRAVES</w:t>
      </w:r>
      <w:r w:rsidR="003F33DA" w:rsidRPr="002A401B">
        <w:rPr>
          <w:rFonts w:ascii="Arial" w:hAnsi="Arial" w:cs="Arial"/>
          <w:sz w:val="26"/>
          <w:szCs w:val="26"/>
        </w:rPr>
        <w:t>, al tenor de la siguiente:</w:t>
      </w:r>
    </w:p>
    <w:p w14:paraId="04DB0CA0" w14:textId="77777777" w:rsidR="00705DD7" w:rsidRDefault="00705DD7" w:rsidP="00705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14:paraId="1738D73C" w14:textId="08095929" w:rsidR="00A47946" w:rsidRDefault="00A47946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sociedad se debe </w:t>
      </w:r>
      <w:r w:rsidR="000D418D">
        <w:rPr>
          <w:rFonts w:ascii="Arial" w:hAnsi="Arial" w:cs="Arial"/>
          <w:sz w:val="24"/>
          <w:szCs w:val="24"/>
        </w:rPr>
        <w:t xml:space="preserve">regir y </w:t>
      </w:r>
      <w:r>
        <w:rPr>
          <w:rFonts w:ascii="Arial" w:hAnsi="Arial" w:cs="Arial"/>
          <w:sz w:val="24"/>
          <w:szCs w:val="24"/>
        </w:rPr>
        <w:t>caracterizar por sus actos de legalidad</w:t>
      </w:r>
      <w:r w:rsidR="001D2C73">
        <w:rPr>
          <w:rFonts w:ascii="Arial" w:hAnsi="Arial" w:cs="Arial"/>
          <w:sz w:val="24"/>
          <w:szCs w:val="24"/>
        </w:rPr>
        <w:t>, honestidad</w:t>
      </w:r>
      <w:r>
        <w:rPr>
          <w:rFonts w:ascii="Arial" w:hAnsi="Arial" w:cs="Arial"/>
          <w:sz w:val="24"/>
          <w:szCs w:val="24"/>
        </w:rPr>
        <w:t xml:space="preserve"> y transparencia</w:t>
      </w:r>
      <w:r w:rsidR="003156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importar la profesión, el oficio o el cargo que se </w:t>
      </w:r>
      <w:r w:rsidR="00320703">
        <w:rPr>
          <w:rFonts w:ascii="Arial" w:hAnsi="Arial" w:cs="Arial"/>
          <w:sz w:val="24"/>
          <w:szCs w:val="24"/>
        </w:rPr>
        <w:t>desempeñe</w:t>
      </w:r>
      <w:r w:rsidR="00BB47B6">
        <w:rPr>
          <w:rFonts w:ascii="Arial" w:hAnsi="Arial" w:cs="Arial"/>
          <w:sz w:val="24"/>
          <w:szCs w:val="24"/>
        </w:rPr>
        <w:t>,</w:t>
      </w:r>
      <w:r w:rsidR="00E85C74">
        <w:rPr>
          <w:rFonts w:ascii="Arial" w:hAnsi="Arial" w:cs="Arial"/>
          <w:sz w:val="24"/>
          <w:szCs w:val="24"/>
        </w:rPr>
        <w:t xml:space="preserve"> </w:t>
      </w:r>
      <w:r w:rsidR="000D418D">
        <w:rPr>
          <w:rFonts w:ascii="Arial" w:hAnsi="Arial" w:cs="Arial"/>
          <w:sz w:val="24"/>
          <w:szCs w:val="24"/>
        </w:rPr>
        <w:t>deb</w:t>
      </w:r>
      <w:r w:rsidR="001D2C73">
        <w:rPr>
          <w:rFonts w:ascii="Arial" w:hAnsi="Arial" w:cs="Arial"/>
          <w:sz w:val="24"/>
          <w:szCs w:val="24"/>
        </w:rPr>
        <w:t>iendo</w:t>
      </w:r>
      <w:r w:rsidR="000D418D">
        <w:rPr>
          <w:rFonts w:ascii="Arial" w:hAnsi="Arial" w:cs="Arial"/>
          <w:sz w:val="24"/>
          <w:szCs w:val="24"/>
        </w:rPr>
        <w:t xml:space="preserve"> prevalecer</w:t>
      </w:r>
      <w:r>
        <w:rPr>
          <w:rFonts w:ascii="Arial" w:hAnsi="Arial" w:cs="Arial"/>
          <w:sz w:val="24"/>
          <w:szCs w:val="24"/>
        </w:rPr>
        <w:t xml:space="preserve"> </w:t>
      </w:r>
      <w:r w:rsidR="000D418D">
        <w:rPr>
          <w:rFonts w:ascii="Arial" w:hAnsi="Arial" w:cs="Arial"/>
          <w:sz w:val="24"/>
          <w:szCs w:val="24"/>
        </w:rPr>
        <w:t xml:space="preserve">en todo momento </w:t>
      </w:r>
      <w:r w:rsidR="00320703">
        <w:rPr>
          <w:rFonts w:ascii="Arial" w:hAnsi="Arial" w:cs="Arial"/>
          <w:sz w:val="24"/>
          <w:szCs w:val="24"/>
        </w:rPr>
        <w:t xml:space="preserve">en el </w:t>
      </w:r>
      <w:r w:rsidR="000D418D">
        <w:rPr>
          <w:rFonts w:ascii="Arial" w:hAnsi="Arial" w:cs="Arial"/>
          <w:sz w:val="24"/>
          <w:szCs w:val="24"/>
        </w:rPr>
        <w:t>accionar</w:t>
      </w:r>
      <w:r w:rsidR="00320703">
        <w:rPr>
          <w:rFonts w:ascii="Arial" w:hAnsi="Arial" w:cs="Arial"/>
          <w:sz w:val="24"/>
          <w:szCs w:val="24"/>
        </w:rPr>
        <w:t xml:space="preserve"> del ciudadano</w:t>
      </w:r>
      <w:r>
        <w:rPr>
          <w:rFonts w:ascii="Arial" w:hAnsi="Arial" w:cs="Arial"/>
          <w:sz w:val="24"/>
          <w:szCs w:val="24"/>
        </w:rPr>
        <w:t xml:space="preserve"> </w:t>
      </w:r>
      <w:r w:rsidR="00AE7D04">
        <w:rPr>
          <w:rFonts w:ascii="Arial" w:hAnsi="Arial" w:cs="Arial"/>
          <w:sz w:val="24"/>
          <w:szCs w:val="24"/>
        </w:rPr>
        <w:t xml:space="preserve">una conducta </w:t>
      </w:r>
      <w:r w:rsidR="001D2C7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rectitud</w:t>
      </w:r>
      <w:r w:rsidR="001D2C73">
        <w:rPr>
          <w:rFonts w:ascii="Arial" w:hAnsi="Arial" w:cs="Arial"/>
          <w:sz w:val="24"/>
          <w:szCs w:val="24"/>
        </w:rPr>
        <w:t xml:space="preserve"> y de lealtad</w:t>
      </w:r>
      <w:r>
        <w:rPr>
          <w:rFonts w:ascii="Arial" w:hAnsi="Arial" w:cs="Arial"/>
          <w:sz w:val="24"/>
          <w:szCs w:val="24"/>
        </w:rPr>
        <w:t>.</w:t>
      </w:r>
    </w:p>
    <w:p w14:paraId="2DF2A978" w14:textId="61ADC4E0" w:rsidR="002D1C29" w:rsidRDefault="000B3190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20703">
        <w:rPr>
          <w:rFonts w:ascii="Arial" w:hAnsi="Arial" w:cs="Arial"/>
          <w:sz w:val="24"/>
          <w:szCs w:val="24"/>
        </w:rPr>
        <w:t>os actos de</w:t>
      </w:r>
      <w:r>
        <w:rPr>
          <w:rFonts w:ascii="Arial" w:hAnsi="Arial" w:cs="Arial"/>
          <w:sz w:val="24"/>
          <w:szCs w:val="24"/>
        </w:rPr>
        <w:t xml:space="preserve"> corrupción </w:t>
      </w:r>
      <w:r w:rsidR="002D1C29">
        <w:rPr>
          <w:rFonts w:ascii="Arial" w:hAnsi="Arial" w:cs="Arial"/>
          <w:sz w:val="24"/>
          <w:szCs w:val="24"/>
        </w:rPr>
        <w:t xml:space="preserve">van acompañados </w:t>
      </w:r>
      <w:r>
        <w:rPr>
          <w:rFonts w:ascii="Arial" w:hAnsi="Arial" w:cs="Arial"/>
          <w:sz w:val="24"/>
          <w:szCs w:val="24"/>
        </w:rPr>
        <w:t>de</w:t>
      </w:r>
      <w:r w:rsidR="000D418D">
        <w:rPr>
          <w:rFonts w:ascii="Arial" w:hAnsi="Arial" w:cs="Arial"/>
          <w:sz w:val="24"/>
          <w:szCs w:val="24"/>
        </w:rPr>
        <w:t xml:space="preserve"> </w:t>
      </w:r>
      <w:r w:rsidR="00320703">
        <w:rPr>
          <w:rFonts w:ascii="Arial" w:hAnsi="Arial" w:cs="Arial"/>
          <w:sz w:val="24"/>
          <w:szCs w:val="24"/>
        </w:rPr>
        <w:t xml:space="preserve">muchos </w:t>
      </w:r>
      <w:r w:rsidR="000D418D">
        <w:rPr>
          <w:rFonts w:ascii="Arial" w:hAnsi="Arial" w:cs="Arial"/>
          <w:sz w:val="24"/>
          <w:szCs w:val="24"/>
        </w:rPr>
        <w:t>hechos de</w:t>
      </w:r>
      <w:r w:rsidR="00893723">
        <w:rPr>
          <w:rFonts w:ascii="Arial" w:hAnsi="Arial" w:cs="Arial"/>
          <w:sz w:val="24"/>
          <w:szCs w:val="24"/>
        </w:rPr>
        <w:t xml:space="preserve"> impunidad que ocasionan</w:t>
      </w:r>
      <w:r w:rsidR="001D2560">
        <w:rPr>
          <w:rFonts w:ascii="Arial" w:hAnsi="Arial" w:cs="Arial"/>
          <w:sz w:val="24"/>
          <w:szCs w:val="24"/>
        </w:rPr>
        <w:t xml:space="preserve"> a su vez </w:t>
      </w:r>
      <w:r w:rsidR="00893723">
        <w:rPr>
          <w:rFonts w:ascii="Arial" w:hAnsi="Arial" w:cs="Arial"/>
          <w:sz w:val="24"/>
          <w:szCs w:val="24"/>
        </w:rPr>
        <w:t>graves consecuencias para</w:t>
      </w:r>
      <w:r w:rsidR="001D2560">
        <w:rPr>
          <w:rFonts w:ascii="Arial" w:hAnsi="Arial" w:cs="Arial"/>
          <w:sz w:val="24"/>
          <w:szCs w:val="24"/>
        </w:rPr>
        <w:t xml:space="preserve"> la sociedad, dando pie a violaciones de </w:t>
      </w:r>
      <w:r w:rsidR="00893723">
        <w:rPr>
          <w:rFonts w:ascii="Arial" w:hAnsi="Arial" w:cs="Arial"/>
          <w:sz w:val="24"/>
          <w:szCs w:val="24"/>
        </w:rPr>
        <w:t>los derechos humanos, desigualdad, injusticia, afectaciones</w:t>
      </w:r>
      <w:r w:rsidR="001D2560">
        <w:rPr>
          <w:rFonts w:ascii="Arial" w:hAnsi="Arial" w:cs="Arial"/>
          <w:sz w:val="24"/>
          <w:szCs w:val="24"/>
        </w:rPr>
        <w:t xml:space="preserve"> en la calidad de vida de la población principalmente </w:t>
      </w:r>
      <w:r w:rsidR="00893723">
        <w:rPr>
          <w:rFonts w:ascii="Arial" w:hAnsi="Arial" w:cs="Arial"/>
          <w:sz w:val="24"/>
          <w:szCs w:val="24"/>
        </w:rPr>
        <w:t>en grupos en situación de vulnerabilidad</w:t>
      </w:r>
      <w:r w:rsidR="001D2560">
        <w:rPr>
          <w:rFonts w:ascii="Arial" w:hAnsi="Arial" w:cs="Arial"/>
          <w:sz w:val="24"/>
          <w:szCs w:val="24"/>
        </w:rPr>
        <w:t xml:space="preserve"> y al mismo t</w:t>
      </w:r>
      <w:r w:rsidR="00893723">
        <w:rPr>
          <w:rFonts w:ascii="Arial" w:hAnsi="Arial" w:cs="Arial"/>
          <w:sz w:val="24"/>
          <w:szCs w:val="24"/>
        </w:rPr>
        <w:t>iempo genera</w:t>
      </w:r>
      <w:r w:rsidR="001D2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desconfianza</w:t>
      </w:r>
      <w:r w:rsidR="00893723">
        <w:rPr>
          <w:rFonts w:ascii="Arial" w:hAnsi="Arial" w:cs="Arial"/>
          <w:sz w:val="24"/>
          <w:szCs w:val="24"/>
        </w:rPr>
        <w:t xml:space="preserve"> en la ciudadanía</w:t>
      </w:r>
      <w:r>
        <w:rPr>
          <w:rFonts w:ascii="Arial" w:hAnsi="Arial" w:cs="Arial"/>
          <w:sz w:val="24"/>
          <w:szCs w:val="24"/>
        </w:rPr>
        <w:t xml:space="preserve"> </w:t>
      </w:r>
      <w:r w:rsidR="00E85C74">
        <w:rPr>
          <w:rFonts w:ascii="Arial" w:hAnsi="Arial" w:cs="Arial"/>
          <w:sz w:val="24"/>
          <w:szCs w:val="24"/>
        </w:rPr>
        <w:t xml:space="preserve">hacia las </w:t>
      </w:r>
      <w:r>
        <w:rPr>
          <w:rFonts w:ascii="Arial" w:hAnsi="Arial" w:cs="Arial"/>
          <w:sz w:val="24"/>
          <w:szCs w:val="24"/>
        </w:rPr>
        <w:t xml:space="preserve">instituciones </w:t>
      </w:r>
      <w:r w:rsidR="00320703">
        <w:rPr>
          <w:rFonts w:ascii="Arial" w:hAnsi="Arial" w:cs="Arial"/>
          <w:sz w:val="24"/>
          <w:szCs w:val="24"/>
        </w:rPr>
        <w:t xml:space="preserve">públicas </w:t>
      </w:r>
      <w:r>
        <w:rPr>
          <w:rFonts w:ascii="Arial" w:hAnsi="Arial" w:cs="Arial"/>
          <w:sz w:val="24"/>
          <w:szCs w:val="24"/>
        </w:rPr>
        <w:t>y</w:t>
      </w:r>
      <w:r w:rsidR="00E85C74">
        <w:rPr>
          <w:rFonts w:ascii="Arial" w:hAnsi="Arial" w:cs="Arial"/>
          <w:sz w:val="24"/>
          <w:szCs w:val="24"/>
        </w:rPr>
        <w:t xml:space="preserve"> hacia las diversas</w:t>
      </w:r>
      <w:r w:rsidR="000D4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autoridades municipales, estatales y federales</w:t>
      </w:r>
      <w:r w:rsidR="00E85C74">
        <w:rPr>
          <w:rFonts w:ascii="Arial" w:hAnsi="Arial" w:cs="Arial"/>
          <w:sz w:val="24"/>
          <w:szCs w:val="24"/>
        </w:rPr>
        <w:t xml:space="preserve">, sin </w:t>
      </w:r>
      <w:r w:rsidR="002D1C29">
        <w:rPr>
          <w:rFonts w:ascii="Arial" w:hAnsi="Arial" w:cs="Arial"/>
          <w:sz w:val="24"/>
          <w:szCs w:val="24"/>
        </w:rPr>
        <w:t>embargo,</w:t>
      </w:r>
      <w:r w:rsidR="00E85C74">
        <w:rPr>
          <w:rFonts w:ascii="Arial" w:hAnsi="Arial" w:cs="Arial"/>
          <w:sz w:val="24"/>
          <w:szCs w:val="24"/>
        </w:rPr>
        <w:t xml:space="preserve"> </w:t>
      </w:r>
      <w:r w:rsidR="002D1C29">
        <w:rPr>
          <w:rFonts w:ascii="Arial" w:hAnsi="Arial" w:cs="Arial"/>
          <w:sz w:val="24"/>
          <w:szCs w:val="24"/>
        </w:rPr>
        <w:t>esta</w:t>
      </w:r>
      <w:r w:rsidR="00E85C74">
        <w:rPr>
          <w:rFonts w:ascii="Arial" w:hAnsi="Arial" w:cs="Arial"/>
          <w:sz w:val="24"/>
          <w:szCs w:val="24"/>
        </w:rPr>
        <w:t xml:space="preserve"> situación no debe ser </w:t>
      </w:r>
      <w:r w:rsidR="008425C9">
        <w:rPr>
          <w:rFonts w:ascii="Arial" w:hAnsi="Arial" w:cs="Arial"/>
          <w:sz w:val="24"/>
          <w:szCs w:val="24"/>
        </w:rPr>
        <w:t>motivo</w:t>
      </w:r>
      <w:r w:rsidR="00E85C74">
        <w:rPr>
          <w:rFonts w:ascii="Arial" w:hAnsi="Arial" w:cs="Arial"/>
          <w:sz w:val="24"/>
          <w:szCs w:val="24"/>
        </w:rPr>
        <w:t xml:space="preserve"> para catalogar como in</w:t>
      </w:r>
      <w:r w:rsidR="002D1C29">
        <w:rPr>
          <w:rFonts w:ascii="Arial" w:hAnsi="Arial" w:cs="Arial"/>
          <w:sz w:val="24"/>
          <w:szCs w:val="24"/>
        </w:rPr>
        <w:t xml:space="preserve">operantes </w:t>
      </w:r>
      <w:r w:rsidR="00E85C74">
        <w:rPr>
          <w:rFonts w:ascii="Arial" w:hAnsi="Arial" w:cs="Arial"/>
          <w:sz w:val="24"/>
          <w:szCs w:val="24"/>
        </w:rPr>
        <w:t xml:space="preserve">a </w:t>
      </w:r>
      <w:r w:rsidR="00BB47B6">
        <w:rPr>
          <w:rFonts w:ascii="Arial" w:hAnsi="Arial" w:cs="Arial"/>
          <w:sz w:val="24"/>
          <w:szCs w:val="24"/>
        </w:rPr>
        <w:t>dichas</w:t>
      </w:r>
      <w:r w:rsidR="00E85C74">
        <w:rPr>
          <w:rFonts w:ascii="Arial" w:hAnsi="Arial" w:cs="Arial"/>
          <w:sz w:val="24"/>
          <w:szCs w:val="24"/>
        </w:rPr>
        <w:t xml:space="preserve"> instituciones</w:t>
      </w:r>
      <w:r w:rsidR="008425C9">
        <w:rPr>
          <w:rFonts w:ascii="Arial" w:hAnsi="Arial" w:cs="Arial"/>
          <w:sz w:val="24"/>
          <w:szCs w:val="24"/>
        </w:rPr>
        <w:t xml:space="preserve"> </w:t>
      </w:r>
      <w:r w:rsidR="00E85C74">
        <w:rPr>
          <w:rFonts w:ascii="Arial" w:hAnsi="Arial" w:cs="Arial"/>
          <w:sz w:val="24"/>
          <w:szCs w:val="24"/>
        </w:rPr>
        <w:t>y tampoco</w:t>
      </w:r>
      <w:r w:rsidR="008425C9">
        <w:rPr>
          <w:rFonts w:ascii="Arial" w:hAnsi="Arial" w:cs="Arial"/>
          <w:sz w:val="24"/>
          <w:szCs w:val="24"/>
        </w:rPr>
        <w:t xml:space="preserve"> para</w:t>
      </w:r>
      <w:r w:rsidR="00E85C74">
        <w:rPr>
          <w:rFonts w:ascii="Arial" w:hAnsi="Arial" w:cs="Arial"/>
          <w:sz w:val="24"/>
          <w:szCs w:val="24"/>
        </w:rPr>
        <w:t xml:space="preserve"> </w:t>
      </w:r>
      <w:r w:rsidR="002D1C29">
        <w:rPr>
          <w:rFonts w:ascii="Arial" w:hAnsi="Arial" w:cs="Arial"/>
          <w:sz w:val="24"/>
          <w:szCs w:val="24"/>
        </w:rPr>
        <w:t>tachar</w:t>
      </w:r>
      <w:r w:rsidR="00E85C74">
        <w:rPr>
          <w:rFonts w:ascii="Arial" w:hAnsi="Arial" w:cs="Arial"/>
          <w:sz w:val="24"/>
          <w:szCs w:val="24"/>
        </w:rPr>
        <w:t xml:space="preserve"> de forma generalizada </w:t>
      </w:r>
      <w:r w:rsidR="00BB47B6">
        <w:rPr>
          <w:rFonts w:ascii="Arial" w:hAnsi="Arial" w:cs="Arial"/>
          <w:sz w:val="24"/>
          <w:szCs w:val="24"/>
        </w:rPr>
        <w:t>las acciones</w:t>
      </w:r>
      <w:r w:rsidR="00E85C74">
        <w:rPr>
          <w:rFonts w:ascii="Arial" w:hAnsi="Arial" w:cs="Arial"/>
          <w:sz w:val="24"/>
          <w:szCs w:val="24"/>
        </w:rPr>
        <w:t xml:space="preserve"> d</w:t>
      </w:r>
      <w:r w:rsidR="002D1C29">
        <w:rPr>
          <w:rFonts w:ascii="Arial" w:hAnsi="Arial" w:cs="Arial"/>
          <w:sz w:val="24"/>
          <w:szCs w:val="24"/>
        </w:rPr>
        <w:t>e todos los que se desempeñan como servidores públicos, ya que así como ex</w:t>
      </w:r>
      <w:r w:rsidR="00AE7D04">
        <w:rPr>
          <w:rFonts w:ascii="Arial" w:hAnsi="Arial" w:cs="Arial"/>
          <w:sz w:val="24"/>
          <w:szCs w:val="24"/>
        </w:rPr>
        <w:t>isten malos servidores públicos,</w:t>
      </w:r>
      <w:r w:rsidR="002D1C29">
        <w:rPr>
          <w:rFonts w:ascii="Arial" w:hAnsi="Arial" w:cs="Arial"/>
          <w:sz w:val="24"/>
          <w:szCs w:val="24"/>
        </w:rPr>
        <w:t xml:space="preserve"> también existen buenos que realmente hacen su trabajo con esmero, formalidad y compromiso. </w:t>
      </w:r>
    </w:p>
    <w:p w14:paraId="0C7B4E01" w14:textId="5A1B5EAF" w:rsidR="00315644" w:rsidRDefault="00BB47B6" w:rsidP="00BB47B6">
      <w:pPr>
        <w:jc w:val="both"/>
        <w:rPr>
          <w:rFonts w:ascii="Arial" w:hAnsi="Arial" w:cs="Arial"/>
          <w:sz w:val="24"/>
          <w:szCs w:val="24"/>
        </w:rPr>
      </w:pPr>
      <w:r w:rsidRPr="00BB47B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="00AE7D04">
        <w:rPr>
          <w:rFonts w:ascii="Arial" w:hAnsi="Arial" w:cs="Arial"/>
          <w:sz w:val="24"/>
          <w:szCs w:val="24"/>
        </w:rPr>
        <w:t>Instituto Nacional de Estadística y Geografía (</w:t>
      </w:r>
      <w:r w:rsidR="001D2C73">
        <w:rPr>
          <w:rFonts w:ascii="Arial" w:hAnsi="Arial" w:cs="Arial"/>
          <w:sz w:val="24"/>
          <w:szCs w:val="24"/>
        </w:rPr>
        <w:t>INEGI</w:t>
      </w:r>
      <w:r w:rsidR="00AE7D04">
        <w:rPr>
          <w:rFonts w:ascii="Arial" w:hAnsi="Arial" w:cs="Arial"/>
          <w:sz w:val="24"/>
          <w:szCs w:val="24"/>
        </w:rPr>
        <w:t>),</w:t>
      </w:r>
      <w:r w:rsidR="001D2C73">
        <w:rPr>
          <w:rFonts w:ascii="Arial" w:hAnsi="Arial" w:cs="Arial"/>
          <w:sz w:val="24"/>
          <w:szCs w:val="24"/>
        </w:rPr>
        <w:t xml:space="preserve"> señalo</w:t>
      </w:r>
      <w:r w:rsidR="00AE7D04">
        <w:rPr>
          <w:rFonts w:ascii="Arial" w:hAnsi="Arial" w:cs="Arial"/>
          <w:sz w:val="24"/>
          <w:szCs w:val="24"/>
        </w:rPr>
        <w:t xml:space="preserve"> que hasta el año 2016, </w:t>
      </w:r>
      <w:r w:rsidR="001D2C73">
        <w:rPr>
          <w:rFonts w:ascii="Arial" w:hAnsi="Arial" w:cs="Arial"/>
          <w:sz w:val="24"/>
          <w:szCs w:val="24"/>
        </w:rPr>
        <w:t xml:space="preserve">México </w:t>
      </w:r>
      <w:r w:rsidR="00AE7D04">
        <w:rPr>
          <w:rFonts w:ascii="Arial" w:hAnsi="Arial" w:cs="Arial"/>
          <w:sz w:val="24"/>
          <w:szCs w:val="24"/>
        </w:rPr>
        <w:t xml:space="preserve">tenía </w:t>
      </w:r>
      <w:r w:rsidR="001D2C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BB47B6">
        <w:rPr>
          <w:rFonts w:ascii="Arial" w:hAnsi="Arial" w:cs="Arial"/>
          <w:sz w:val="24"/>
          <w:szCs w:val="24"/>
        </w:rPr>
        <w:t>4.2 millones de servidores públicos trabaja</w:t>
      </w:r>
      <w:r>
        <w:rPr>
          <w:rFonts w:ascii="Arial" w:hAnsi="Arial" w:cs="Arial"/>
          <w:sz w:val="24"/>
          <w:szCs w:val="24"/>
        </w:rPr>
        <w:t>ndo</w:t>
      </w:r>
      <w:r w:rsidRPr="00BB47B6">
        <w:rPr>
          <w:rFonts w:ascii="Arial" w:hAnsi="Arial" w:cs="Arial"/>
          <w:sz w:val="24"/>
          <w:szCs w:val="24"/>
        </w:rPr>
        <w:t xml:space="preserve"> en las </w:t>
      </w:r>
      <w:r w:rsidRPr="00BB47B6">
        <w:rPr>
          <w:rFonts w:ascii="Arial" w:hAnsi="Arial" w:cs="Arial"/>
          <w:sz w:val="24"/>
          <w:szCs w:val="24"/>
        </w:rPr>
        <w:lastRenderedPageBreak/>
        <w:t>diferentes instituciones de las administraciones públicas</w:t>
      </w:r>
      <w:r w:rsidR="001D2C73">
        <w:rPr>
          <w:rFonts w:ascii="Arial" w:hAnsi="Arial" w:cs="Arial"/>
          <w:sz w:val="24"/>
          <w:szCs w:val="24"/>
        </w:rPr>
        <w:t xml:space="preserve"> del país</w:t>
      </w:r>
      <w:r w:rsidRPr="00BB47B6">
        <w:rPr>
          <w:rFonts w:ascii="Arial" w:hAnsi="Arial" w:cs="Arial"/>
          <w:sz w:val="24"/>
          <w:szCs w:val="24"/>
        </w:rPr>
        <w:t>, lo que represent</w:t>
      </w:r>
      <w:r>
        <w:rPr>
          <w:rFonts w:ascii="Arial" w:hAnsi="Arial" w:cs="Arial"/>
          <w:sz w:val="24"/>
          <w:szCs w:val="24"/>
        </w:rPr>
        <w:t>a</w:t>
      </w:r>
      <w:r w:rsidRPr="00BB47B6">
        <w:rPr>
          <w:rFonts w:ascii="Arial" w:hAnsi="Arial" w:cs="Arial"/>
          <w:sz w:val="24"/>
          <w:szCs w:val="24"/>
        </w:rPr>
        <w:t xml:space="preserve"> una tasa nacional de 344 servidores públicos por cada diez mil habitantes</w:t>
      </w:r>
      <w:r>
        <w:rPr>
          <w:rFonts w:ascii="Arial" w:hAnsi="Arial" w:cs="Arial"/>
          <w:sz w:val="24"/>
          <w:szCs w:val="24"/>
        </w:rPr>
        <w:t xml:space="preserve">, </w:t>
      </w:r>
      <w:r w:rsidR="001D2C73">
        <w:rPr>
          <w:rFonts w:ascii="Arial" w:hAnsi="Arial" w:cs="Arial"/>
          <w:sz w:val="24"/>
          <w:szCs w:val="24"/>
        </w:rPr>
        <w:t>trabajando</w:t>
      </w:r>
      <w:r w:rsidRPr="00BB4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BB47B6">
        <w:rPr>
          <w:rFonts w:ascii="Arial" w:hAnsi="Arial" w:cs="Arial"/>
          <w:sz w:val="24"/>
          <w:szCs w:val="24"/>
        </w:rPr>
        <w:t>39% en el ámbito federal y el 61% en las administraciones estatales</w:t>
      </w:r>
      <w:r w:rsidR="00893723">
        <w:rPr>
          <w:rFonts w:ascii="Arial" w:hAnsi="Arial" w:cs="Arial"/>
          <w:sz w:val="24"/>
          <w:szCs w:val="24"/>
        </w:rPr>
        <w:t xml:space="preserve">; </w:t>
      </w:r>
      <w:r w:rsidR="00315644" w:rsidRPr="00315644">
        <w:rPr>
          <w:rFonts w:ascii="Arial" w:hAnsi="Arial" w:cs="Arial"/>
          <w:sz w:val="24"/>
          <w:szCs w:val="24"/>
        </w:rPr>
        <w:t xml:space="preserve">En estados como Tabasco, Guerrero, Colima, Nayarit, Baja California Sur, Zacatecas, Yucatán, Durango, </w:t>
      </w:r>
      <w:r w:rsidR="006652D6">
        <w:rPr>
          <w:rFonts w:ascii="Arial" w:hAnsi="Arial" w:cs="Arial"/>
          <w:sz w:val="24"/>
          <w:szCs w:val="24"/>
        </w:rPr>
        <w:t>Hidalgo y Ciudad de México se tenía</w:t>
      </w:r>
      <w:r w:rsidR="00893723">
        <w:rPr>
          <w:rFonts w:ascii="Arial" w:hAnsi="Arial" w:cs="Arial"/>
          <w:sz w:val="24"/>
          <w:szCs w:val="24"/>
        </w:rPr>
        <w:t xml:space="preserve"> en ese mismo año</w:t>
      </w:r>
      <w:r w:rsidR="00315644" w:rsidRPr="00315644">
        <w:rPr>
          <w:rFonts w:ascii="Arial" w:hAnsi="Arial" w:cs="Arial"/>
          <w:sz w:val="24"/>
          <w:szCs w:val="24"/>
        </w:rPr>
        <w:t xml:space="preserve"> más de 300 servidores por cada diez mil habitantes.</w:t>
      </w:r>
    </w:p>
    <w:p w14:paraId="0C5BC9D0" w14:textId="2EEEFD6E" w:rsid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0470B7">
        <w:rPr>
          <w:rFonts w:ascii="Arial" w:hAnsi="Arial" w:cs="Arial"/>
          <w:sz w:val="24"/>
          <w:szCs w:val="24"/>
        </w:rPr>
        <w:t>En 2017 más de 60% de la población manifestó confiar</w:t>
      </w:r>
      <w:r>
        <w:rPr>
          <w:rFonts w:ascii="Arial" w:hAnsi="Arial" w:cs="Arial"/>
          <w:sz w:val="24"/>
          <w:szCs w:val="24"/>
        </w:rPr>
        <w:t xml:space="preserve"> únicamente</w:t>
      </w:r>
      <w:r w:rsidRPr="000470B7">
        <w:rPr>
          <w:rFonts w:ascii="Arial" w:hAnsi="Arial" w:cs="Arial"/>
          <w:sz w:val="24"/>
          <w:szCs w:val="24"/>
        </w:rPr>
        <w:t xml:space="preserve"> en las instituciones públicas de educación, salud, el ejército y la marina; </w:t>
      </w:r>
      <w:r>
        <w:rPr>
          <w:rFonts w:ascii="Arial" w:hAnsi="Arial" w:cs="Arial"/>
          <w:sz w:val="24"/>
          <w:szCs w:val="24"/>
        </w:rPr>
        <w:t xml:space="preserve">y </w:t>
      </w:r>
      <w:r w:rsidRPr="000470B7">
        <w:rPr>
          <w:rFonts w:ascii="Arial" w:hAnsi="Arial" w:cs="Arial"/>
          <w:sz w:val="24"/>
          <w:szCs w:val="24"/>
        </w:rPr>
        <w:t>alrededor de 2 de cada 10 personas expresó tener confianza en los partidos políticos o en los diputados y senadores</w:t>
      </w:r>
      <w:r>
        <w:rPr>
          <w:rFonts w:ascii="Arial" w:hAnsi="Arial" w:cs="Arial"/>
          <w:sz w:val="24"/>
          <w:szCs w:val="24"/>
        </w:rPr>
        <w:t>.</w:t>
      </w:r>
    </w:p>
    <w:p w14:paraId="217D1F55" w14:textId="670C32AB" w:rsidR="00EB0161" w:rsidRPr="00EB0161" w:rsidRDefault="00EB0161" w:rsidP="00EB0161">
      <w:pPr>
        <w:jc w:val="both"/>
        <w:rPr>
          <w:rFonts w:ascii="Arial" w:hAnsi="Arial" w:cs="Arial"/>
          <w:sz w:val="24"/>
          <w:szCs w:val="24"/>
        </w:rPr>
      </w:pPr>
      <w:r w:rsidRPr="00EB0161">
        <w:rPr>
          <w:rFonts w:ascii="Arial" w:hAnsi="Arial" w:cs="Arial"/>
          <w:sz w:val="24"/>
          <w:szCs w:val="24"/>
        </w:rPr>
        <w:t>De acuerdo con el</w:t>
      </w:r>
      <w:r w:rsidRPr="00EB0161">
        <w:rPr>
          <w:rFonts w:ascii="Arial" w:hAnsi="Arial" w:cs="Arial"/>
          <w:sz w:val="24"/>
          <w:szCs w:val="24"/>
        </w:rPr>
        <w:t xml:space="preserve"> Índice Global de Impunidad 2015, México se encuentra dentro de los cinco países con</w:t>
      </w:r>
      <w:r>
        <w:rPr>
          <w:rFonts w:ascii="Arial" w:hAnsi="Arial" w:cs="Arial"/>
          <w:sz w:val="24"/>
          <w:szCs w:val="24"/>
        </w:rPr>
        <w:t xml:space="preserve"> niveles más altos de impunidad, en donde el</w:t>
      </w:r>
      <w:r w:rsidRPr="00EB0161">
        <w:rPr>
          <w:rFonts w:ascii="Arial" w:hAnsi="Arial" w:cs="Arial"/>
          <w:sz w:val="24"/>
          <w:szCs w:val="24"/>
        </w:rPr>
        <w:t xml:space="preserve"> 95 por ciento de los delitos de corrupción</w:t>
      </w:r>
      <w:r>
        <w:rPr>
          <w:rFonts w:ascii="Arial" w:hAnsi="Arial" w:cs="Arial"/>
          <w:sz w:val="24"/>
          <w:szCs w:val="24"/>
        </w:rPr>
        <w:t xml:space="preserve"> cometidos por particulares y servidores públicos principalmente</w:t>
      </w:r>
      <w:r w:rsidR="006652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quedan impunes</w:t>
      </w:r>
      <w:r w:rsidRPr="00EB0161">
        <w:rPr>
          <w:rFonts w:ascii="Arial" w:hAnsi="Arial" w:cs="Arial"/>
          <w:sz w:val="24"/>
          <w:szCs w:val="24"/>
        </w:rPr>
        <w:t xml:space="preserve">. </w:t>
      </w:r>
    </w:p>
    <w:p w14:paraId="6C2E8F00" w14:textId="07CEF86D" w:rsidR="00320703" w:rsidRDefault="00320703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confianza </w:t>
      </w:r>
      <w:r w:rsidR="00283BD7">
        <w:rPr>
          <w:rFonts w:ascii="Arial" w:hAnsi="Arial" w:cs="Arial"/>
          <w:sz w:val="24"/>
          <w:szCs w:val="24"/>
        </w:rPr>
        <w:t xml:space="preserve">es muy difícil de ganar y </w:t>
      </w:r>
      <w:r w:rsidR="00E85C74">
        <w:rPr>
          <w:rFonts w:ascii="Arial" w:hAnsi="Arial" w:cs="Arial"/>
          <w:sz w:val="24"/>
          <w:szCs w:val="24"/>
        </w:rPr>
        <w:t>muy fácil</w:t>
      </w:r>
      <w:r w:rsidR="00283BD7">
        <w:rPr>
          <w:rFonts w:ascii="Arial" w:hAnsi="Arial" w:cs="Arial"/>
          <w:sz w:val="24"/>
          <w:szCs w:val="24"/>
        </w:rPr>
        <w:t xml:space="preserve"> de perder</w:t>
      </w:r>
      <w:r w:rsidR="00E85C74">
        <w:rPr>
          <w:rFonts w:ascii="Arial" w:hAnsi="Arial" w:cs="Arial"/>
          <w:sz w:val="24"/>
          <w:szCs w:val="24"/>
        </w:rPr>
        <w:t xml:space="preserve">, y esa es la situación </w:t>
      </w:r>
      <w:r>
        <w:rPr>
          <w:rFonts w:ascii="Arial" w:hAnsi="Arial" w:cs="Arial"/>
          <w:sz w:val="24"/>
          <w:szCs w:val="24"/>
        </w:rPr>
        <w:t>actual</w:t>
      </w:r>
      <w:r w:rsidR="00E85C7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2D1C29">
        <w:rPr>
          <w:rFonts w:ascii="Arial" w:hAnsi="Arial" w:cs="Arial"/>
          <w:sz w:val="24"/>
          <w:szCs w:val="24"/>
        </w:rPr>
        <w:t xml:space="preserve">una gran cantidad de </w:t>
      </w:r>
      <w:r>
        <w:rPr>
          <w:rFonts w:ascii="Arial" w:hAnsi="Arial" w:cs="Arial"/>
          <w:sz w:val="24"/>
          <w:szCs w:val="24"/>
        </w:rPr>
        <w:t>servidores públicos</w:t>
      </w:r>
      <w:r w:rsidR="00EA5E1B">
        <w:rPr>
          <w:rFonts w:ascii="Arial" w:hAnsi="Arial" w:cs="Arial"/>
          <w:sz w:val="24"/>
          <w:szCs w:val="24"/>
        </w:rPr>
        <w:t xml:space="preserve"> </w:t>
      </w:r>
      <w:r w:rsidR="00283BD7">
        <w:rPr>
          <w:rFonts w:ascii="Arial" w:hAnsi="Arial" w:cs="Arial"/>
          <w:sz w:val="24"/>
          <w:szCs w:val="24"/>
        </w:rPr>
        <w:t xml:space="preserve">en el país, </w:t>
      </w:r>
      <w:r w:rsidR="00EA5E1B">
        <w:rPr>
          <w:rFonts w:ascii="Arial" w:hAnsi="Arial" w:cs="Arial"/>
          <w:sz w:val="24"/>
          <w:szCs w:val="24"/>
        </w:rPr>
        <w:t>en los que la</w:t>
      </w:r>
      <w:r w:rsidR="00315644">
        <w:rPr>
          <w:rFonts w:ascii="Arial" w:hAnsi="Arial" w:cs="Arial"/>
          <w:sz w:val="24"/>
          <w:szCs w:val="24"/>
        </w:rPr>
        <w:t xml:space="preserve"> mayoría de la</w:t>
      </w:r>
      <w:r w:rsidR="00EA5E1B">
        <w:rPr>
          <w:rFonts w:ascii="Arial" w:hAnsi="Arial" w:cs="Arial"/>
          <w:sz w:val="24"/>
          <w:szCs w:val="24"/>
        </w:rPr>
        <w:t xml:space="preserve"> población ya no confía, ya que en la actualidad</w:t>
      </w:r>
      <w:r w:rsidR="00315644">
        <w:rPr>
          <w:rFonts w:ascii="Arial" w:hAnsi="Arial" w:cs="Arial"/>
          <w:sz w:val="24"/>
          <w:szCs w:val="24"/>
        </w:rPr>
        <w:t xml:space="preserve"> la gente liga más</w:t>
      </w:r>
      <w:r w:rsidR="00EA5E1B">
        <w:rPr>
          <w:rFonts w:ascii="Arial" w:hAnsi="Arial" w:cs="Arial"/>
          <w:sz w:val="24"/>
          <w:szCs w:val="24"/>
        </w:rPr>
        <w:t xml:space="preserve"> el concepto de servidor público con la palabra corrupción </w:t>
      </w:r>
      <w:r w:rsidR="001D2C73">
        <w:rPr>
          <w:rFonts w:ascii="Arial" w:hAnsi="Arial" w:cs="Arial"/>
          <w:sz w:val="24"/>
          <w:szCs w:val="24"/>
        </w:rPr>
        <w:t xml:space="preserve">e ineficiencia, </w:t>
      </w:r>
      <w:r w:rsidR="00EA5E1B">
        <w:rPr>
          <w:rFonts w:ascii="Arial" w:hAnsi="Arial" w:cs="Arial"/>
          <w:sz w:val="24"/>
          <w:szCs w:val="24"/>
        </w:rPr>
        <w:t xml:space="preserve">que con la palabra </w:t>
      </w:r>
      <w:r w:rsidR="00283BD7">
        <w:rPr>
          <w:rFonts w:ascii="Arial" w:hAnsi="Arial" w:cs="Arial"/>
          <w:sz w:val="24"/>
          <w:szCs w:val="24"/>
        </w:rPr>
        <w:t xml:space="preserve">legal y </w:t>
      </w:r>
      <w:r w:rsidR="00EA5E1B">
        <w:rPr>
          <w:rFonts w:ascii="Arial" w:hAnsi="Arial" w:cs="Arial"/>
          <w:sz w:val="24"/>
          <w:szCs w:val="24"/>
        </w:rPr>
        <w:t>solución</w:t>
      </w:r>
      <w:r w:rsidR="00315644">
        <w:rPr>
          <w:rFonts w:ascii="Arial" w:hAnsi="Arial" w:cs="Arial"/>
          <w:sz w:val="24"/>
          <w:szCs w:val="24"/>
        </w:rPr>
        <w:t>, por lo que l</w:t>
      </w:r>
      <w:r w:rsidR="00283BD7">
        <w:rPr>
          <w:rFonts w:ascii="Arial" w:hAnsi="Arial" w:cs="Arial"/>
          <w:sz w:val="24"/>
          <w:szCs w:val="24"/>
        </w:rPr>
        <w:t>a imagen de este</w:t>
      </w:r>
      <w:r w:rsidR="002D1C29">
        <w:rPr>
          <w:rFonts w:ascii="Arial" w:hAnsi="Arial" w:cs="Arial"/>
          <w:sz w:val="24"/>
          <w:szCs w:val="24"/>
        </w:rPr>
        <w:t xml:space="preserve"> </w:t>
      </w:r>
      <w:r w:rsidR="00283BD7">
        <w:rPr>
          <w:rFonts w:ascii="Arial" w:hAnsi="Arial" w:cs="Arial"/>
          <w:sz w:val="24"/>
          <w:szCs w:val="24"/>
        </w:rPr>
        <w:t>cargo</w:t>
      </w:r>
      <w:r w:rsidR="008425C9">
        <w:rPr>
          <w:rFonts w:ascii="Arial" w:hAnsi="Arial" w:cs="Arial"/>
          <w:sz w:val="24"/>
          <w:szCs w:val="24"/>
        </w:rPr>
        <w:t xml:space="preserve"> </w:t>
      </w:r>
      <w:r w:rsidR="002D1C29">
        <w:rPr>
          <w:rFonts w:ascii="Arial" w:hAnsi="Arial" w:cs="Arial"/>
          <w:sz w:val="24"/>
          <w:szCs w:val="24"/>
        </w:rPr>
        <w:t xml:space="preserve">se ha </w:t>
      </w:r>
      <w:r>
        <w:rPr>
          <w:rFonts w:ascii="Arial" w:hAnsi="Arial" w:cs="Arial"/>
          <w:sz w:val="24"/>
          <w:szCs w:val="24"/>
        </w:rPr>
        <w:t>desgastado enormemente</w:t>
      </w:r>
      <w:r w:rsidR="002D1C29">
        <w:rPr>
          <w:rFonts w:ascii="Arial" w:hAnsi="Arial" w:cs="Arial"/>
          <w:sz w:val="24"/>
          <w:szCs w:val="24"/>
        </w:rPr>
        <w:t xml:space="preserve"> con el tiempo</w:t>
      </w:r>
      <w:r w:rsidR="00283BD7">
        <w:rPr>
          <w:rFonts w:ascii="Arial" w:hAnsi="Arial" w:cs="Arial"/>
          <w:sz w:val="24"/>
          <w:szCs w:val="24"/>
        </w:rPr>
        <w:t>,</w:t>
      </w:r>
      <w:r w:rsidR="002D1C29">
        <w:rPr>
          <w:rFonts w:ascii="Arial" w:hAnsi="Arial" w:cs="Arial"/>
          <w:sz w:val="24"/>
          <w:szCs w:val="24"/>
        </w:rPr>
        <w:t xml:space="preserve"> y hay</w:t>
      </w:r>
      <w:r w:rsidR="00283BD7">
        <w:rPr>
          <w:rFonts w:ascii="Arial" w:hAnsi="Arial" w:cs="Arial"/>
          <w:sz w:val="24"/>
          <w:szCs w:val="24"/>
        </w:rPr>
        <w:t xml:space="preserve"> que decirlo con toda sinceridad</w:t>
      </w:r>
      <w:r>
        <w:rPr>
          <w:rFonts w:ascii="Arial" w:hAnsi="Arial" w:cs="Arial"/>
          <w:sz w:val="24"/>
          <w:szCs w:val="24"/>
        </w:rPr>
        <w:t>,</w:t>
      </w:r>
      <w:r w:rsidR="002D1C29">
        <w:rPr>
          <w:rFonts w:ascii="Arial" w:hAnsi="Arial" w:cs="Arial"/>
          <w:sz w:val="24"/>
          <w:szCs w:val="24"/>
        </w:rPr>
        <w:t xml:space="preserve"> desgaste </w:t>
      </w:r>
      <w:r w:rsidR="00EA5E1B">
        <w:rPr>
          <w:rFonts w:ascii="Arial" w:hAnsi="Arial" w:cs="Arial"/>
          <w:sz w:val="24"/>
          <w:szCs w:val="24"/>
        </w:rPr>
        <w:t xml:space="preserve">que </w:t>
      </w:r>
      <w:r w:rsidR="002D1C29">
        <w:rPr>
          <w:rFonts w:ascii="Arial" w:hAnsi="Arial" w:cs="Arial"/>
          <w:sz w:val="24"/>
          <w:szCs w:val="24"/>
        </w:rPr>
        <w:t xml:space="preserve">muchas veces </w:t>
      </w:r>
      <w:r w:rsidR="00EA5E1B">
        <w:rPr>
          <w:rFonts w:ascii="Arial" w:hAnsi="Arial" w:cs="Arial"/>
          <w:sz w:val="24"/>
          <w:szCs w:val="24"/>
        </w:rPr>
        <w:t xml:space="preserve">es </w:t>
      </w:r>
      <w:r w:rsidR="00315644">
        <w:rPr>
          <w:rFonts w:ascii="Arial" w:hAnsi="Arial" w:cs="Arial"/>
          <w:sz w:val="24"/>
          <w:szCs w:val="24"/>
        </w:rPr>
        <w:t>justificado, ya que</w:t>
      </w:r>
      <w:r w:rsidR="005D578A">
        <w:rPr>
          <w:rFonts w:ascii="Arial" w:hAnsi="Arial" w:cs="Arial"/>
          <w:sz w:val="24"/>
          <w:szCs w:val="24"/>
        </w:rPr>
        <w:t xml:space="preserve"> alguna</w:t>
      </w:r>
      <w:r w:rsidR="00315644">
        <w:rPr>
          <w:rFonts w:ascii="Arial" w:hAnsi="Arial" w:cs="Arial"/>
          <w:sz w:val="24"/>
          <w:szCs w:val="24"/>
        </w:rPr>
        <w:t xml:space="preserve">s </w:t>
      </w:r>
      <w:r w:rsidR="005D578A">
        <w:rPr>
          <w:rFonts w:ascii="Arial" w:hAnsi="Arial" w:cs="Arial"/>
          <w:sz w:val="24"/>
          <w:szCs w:val="24"/>
        </w:rPr>
        <w:t xml:space="preserve">de las personas </w:t>
      </w:r>
      <w:r w:rsidR="00315644">
        <w:rPr>
          <w:rFonts w:ascii="Arial" w:hAnsi="Arial" w:cs="Arial"/>
          <w:sz w:val="24"/>
          <w:szCs w:val="24"/>
        </w:rPr>
        <w:t>que lo han desempeñado</w:t>
      </w:r>
      <w:r w:rsidR="00283BD7">
        <w:rPr>
          <w:rFonts w:ascii="Arial" w:hAnsi="Arial" w:cs="Arial"/>
          <w:sz w:val="24"/>
          <w:szCs w:val="24"/>
        </w:rPr>
        <w:t xml:space="preserve"> </w:t>
      </w:r>
      <w:r w:rsidR="00EA5E1B">
        <w:rPr>
          <w:rFonts w:ascii="Arial" w:hAnsi="Arial" w:cs="Arial"/>
          <w:sz w:val="24"/>
          <w:szCs w:val="24"/>
        </w:rPr>
        <w:t>se han aprovechado</w:t>
      </w:r>
      <w:r w:rsidR="005D578A">
        <w:rPr>
          <w:rFonts w:ascii="Arial" w:hAnsi="Arial" w:cs="Arial"/>
          <w:sz w:val="24"/>
          <w:szCs w:val="24"/>
        </w:rPr>
        <w:t xml:space="preserve"> del cargo</w:t>
      </w:r>
      <w:r w:rsidR="00EA5E1B">
        <w:rPr>
          <w:rFonts w:ascii="Arial" w:hAnsi="Arial" w:cs="Arial"/>
          <w:sz w:val="24"/>
          <w:szCs w:val="24"/>
        </w:rPr>
        <w:t xml:space="preserve"> </w:t>
      </w:r>
      <w:r w:rsidR="00E85C74">
        <w:rPr>
          <w:rFonts w:ascii="Arial" w:hAnsi="Arial" w:cs="Arial"/>
          <w:sz w:val="24"/>
          <w:szCs w:val="24"/>
        </w:rPr>
        <w:t>de</w:t>
      </w:r>
      <w:r w:rsidR="00283BD7">
        <w:rPr>
          <w:rFonts w:ascii="Arial" w:hAnsi="Arial" w:cs="Arial"/>
          <w:sz w:val="24"/>
          <w:szCs w:val="24"/>
        </w:rPr>
        <w:t xml:space="preserve"> forma arbitraría e ilegal,</w:t>
      </w:r>
      <w:r w:rsidR="00EA5E1B">
        <w:rPr>
          <w:rFonts w:ascii="Arial" w:hAnsi="Arial" w:cs="Arial"/>
          <w:sz w:val="24"/>
          <w:szCs w:val="24"/>
        </w:rPr>
        <w:t xml:space="preserve"> apoderándose</w:t>
      </w:r>
      <w:r w:rsidR="00283BD7">
        <w:rPr>
          <w:rFonts w:ascii="Arial" w:hAnsi="Arial" w:cs="Arial"/>
          <w:sz w:val="24"/>
          <w:szCs w:val="24"/>
        </w:rPr>
        <w:t xml:space="preserve"> incluso</w:t>
      </w:r>
      <w:r w:rsidR="00893723">
        <w:rPr>
          <w:rFonts w:ascii="Arial" w:hAnsi="Arial" w:cs="Arial"/>
          <w:sz w:val="24"/>
          <w:szCs w:val="24"/>
        </w:rPr>
        <w:t xml:space="preserve"> de lo ajeno</w:t>
      </w:r>
      <w:r>
        <w:rPr>
          <w:rFonts w:ascii="Arial" w:hAnsi="Arial" w:cs="Arial"/>
          <w:sz w:val="24"/>
          <w:szCs w:val="24"/>
        </w:rPr>
        <w:t xml:space="preserve"> </w:t>
      </w:r>
      <w:r w:rsidR="005D578A">
        <w:rPr>
          <w:rFonts w:ascii="Arial" w:hAnsi="Arial" w:cs="Arial"/>
          <w:sz w:val="24"/>
          <w:szCs w:val="24"/>
        </w:rPr>
        <w:t>cayendo</w:t>
      </w:r>
      <w:r w:rsidR="00893723">
        <w:rPr>
          <w:rFonts w:ascii="Arial" w:hAnsi="Arial" w:cs="Arial"/>
          <w:sz w:val="24"/>
          <w:szCs w:val="24"/>
        </w:rPr>
        <w:t xml:space="preserve"> así</w:t>
      </w:r>
      <w:r w:rsidR="005D578A">
        <w:rPr>
          <w:rFonts w:ascii="Arial" w:hAnsi="Arial" w:cs="Arial"/>
          <w:sz w:val="24"/>
          <w:szCs w:val="24"/>
        </w:rPr>
        <w:t xml:space="preserve"> en un enriquecimiento ilícito derivado </w:t>
      </w:r>
      <w:r>
        <w:rPr>
          <w:rFonts w:ascii="Arial" w:hAnsi="Arial" w:cs="Arial"/>
          <w:sz w:val="24"/>
          <w:szCs w:val="24"/>
        </w:rPr>
        <w:t xml:space="preserve">del dinero de todos los </w:t>
      </w:r>
      <w:r w:rsidR="00EA5E1B">
        <w:rPr>
          <w:rFonts w:ascii="Arial" w:hAnsi="Arial" w:cs="Arial"/>
          <w:sz w:val="24"/>
          <w:szCs w:val="24"/>
        </w:rPr>
        <w:t>mexicanos</w:t>
      </w:r>
      <w:r w:rsidR="005D578A">
        <w:rPr>
          <w:rFonts w:ascii="Arial" w:hAnsi="Arial" w:cs="Arial"/>
          <w:sz w:val="24"/>
          <w:szCs w:val="24"/>
        </w:rPr>
        <w:t>,</w:t>
      </w:r>
      <w:r w:rsidR="00EA5E1B">
        <w:rPr>
          <w:rFonts w:ascii="Arial" w:hAnsi="Arial" w:cs="Arial"/>
          <w:sz w:val="24"/>
          <w:szCs w:val="24"/>
        </w:rPr>
        <w:t xml:space="preserve"> </w:t>
      </w:r>
      <w:r w:rsidR="00315644">
        <w:rPr>
          <w:rFonts w:ascii="Arial" w:hAnsi="Arial" w:cs="Arial"/>
          <w:sz w:val="24"/>
          <w:szCs w:val="24"/>
        </w:rPr>
        <w:t xml:space="preserve">que </w:t>
      </w:r>
      <w:r w:rsidR="00EA5E1B">
        <w:rPr>
          <w:rFonts w:ascii="Arial" w:hAnsi="Arial" w:cs="Arial"/>
          <w:sz w:val="24"/>
          <w:szCs w:val="24"/>
        </w:rPr>
        <w:t xml:space="preserve">aportamos </w:t>
      </w:r>
      <w:r>
        <w:rPr>
          <w:rFonts w:ascii="Arial" w:hAnsi="Arial" w:cs="Arial"/>
          <w:sz w:val="24"/>
          <w:szCs w:val="24"/>
        </w:rPr>
        <w:t>con nuestros impuestos</w:t>
      </w:r>
      <w:r w:rsidR="005D578A">
        <w:rPr>
          <w:rFonts w:ascii="Arial" w:hAnsi="Arial" w:cs="Arial"/>
          <w:sz w:val="24"/>
          <w:szCs w:val="24"/>
        </w:rPr>
        <w:t xml:space="preserve"> esperando que sea</w:t>
      </w:r>
      <w:r w:rsidR="00315644">
        <w:rPr>
          <w:rFonts w:ascii="Arial" w:hAnsi="Arial" w:cs="Arial"/>
          <w:sz w:val="24"/>
          <w:szCs w:val="24"/>
        </w:rPr>
        <w:t xml:space="preserve"> administrado </w:t>
      </w:r>
      <w:r w:rsidR="000470B7">
        <w:rPr>
          <w:rFonts w:ascii="Arial" w:hAnsi="Arial" w:cs="Arial"/>
          <w:sz w:val="24"/>
          <w:szCs w:val="24"/>
        </w:rPr>
        <w:t>y</w:t>
      </w:r>
      <w:r w:rsidR="00283BD7">
        <w:rPr>
          <w:rFonts w:ascii="Arial" w:hAnsi="Arial" w:cs="Arial"/>
          <w:sz w:val="24"/>
          <w:szCs w:val="24"/>
        </w:rPr>
        <w:t xml:space="preserve"> utilizado</w:t>
      </w:r>
      <w:r w:rsidR="005D578A">
        <w:rPr>
          <w:rFonts w:ascii="Arial" w:hAnsi="Arial" w:cs="Arial"/>
          <w:sz w:val="24"/>
          <w:szCs w:val="24"/>
        </w:rPr>
        <w:t xml:space="preserve"> correctamente</w:t>
      </w:r>
      <w:r w:rsidR="00EA5E1B">
        <w:rPr>
          <w:rFonts w:ascii="Arial" w:hAnsi="Arial" w:cs="Arial"/>
          <w:sz w:val="24"/>
          <w:szCs w:val="24"/>
        </w:rPr>
        <w:t xml:space="preserve"> para el bien de todos</w:t>
      </w:r>
      <w:r w:rsidR="00315644">
        <w:rPr>
          <w:rFonts w:ascii="Arial" w:hAnsi="Arial" w:cs="Arial"/>
          <w:sz w:val="24"/>
          <w:szCs w:val="24"/>
        </w:rPr>
        <w:t>, creando</w:t>
      </w:r>
      <w:r w:rsidR="000470B7">
        <w:rPr>
          <w:rFonts w:ascii="Arial" w:hAnsi="Arial" w:cs="Arial"/>
          <w:sz w:val="24"/>
          <w:szCs w:val="24"/>
        </w:rPr>
        <w:t xml:space="preserve"> </w:t>
      </w:r>
      <w:r w:rsidR="006652D6">
        <w:rPr>
          <w:rFonts w:ascii="Arial" w:hAnsi="Arial" w:cs="Arial"/>
          <w:sz w:val="24"/>
          <w:szCs w:val="24"/>
        </w:rPr>
        <w:t>con é</w:t>
      </w:r>
      <w:r w:rsidR="000470B7">
        <w:rPr>
          <w:rFonts w:ascii="Arial" w:hAnsi="Arial" w:cs="Arial"/>
          <w:sz w:val="24"/>
          <w:szCs w:val="24"/>
        </w:rPr>
        <w:t xml:space="preserve">l </w:t>
      </w:r>
      <w:r w:rsidR="00315644">
        <w:rPr>
          <w:rFonts w:ascii="Arial" w:hAnsi="Arial" w:cs="Arial"/>
          <w:sz w:val="24"/>
          <w:szCs w:val="24"/>
        </w:rPr>
        <w:t>mejores oportunidades de desarrollo</w:t>
      </w:r>
      <w:r w:rsidR="000470B7">
        <w:rPr>
          <w:rFonts w:ascii="Arial" w:hAnsi="Arial" w:cs="Arial"/>
          <w:sz w:val="24"/>
          <w:szCs w:val="24"/>
        </w:rPr>
        <w:t xml:space="preserve"> y crecimiento en los diferentes ámbitos, como el educativo, el cultural, el deportivo, el laboral, entre otros</w:t>
      </w:r>
      <w:r>
        <w:rPr>
          <w:rFonts w:ascii="Arial" w:hAnsi="Arial" w:cs="Arial"/>
          <w:sz w:val="24"/>
          <w:szCs w:val="24"/>
        </w:rPr>
        <w:t>.</w:t>
      </w:r>
    </w:p>
    <w:p w14:paraId="15B76812" w14:textId="2C48AC19" w:rsidR="00283BD7" w:rsidRDefault="00283BD7" w:rsidP="00E31149">
      <w:pPr>
        <w:jc w:val="both"/>
        <w:rPr>
          <w:rFonts w:ascii="Arial" w:hAnsi="Arial" w:cs="Arial"/>
          <w:sz w:val="24"/>
          <w:szCs w:val="24"/>
        </w:rPr>
      </w:pPr>
      <w:r w:rsidRPr="00283BD7">
        <w:rPr>
          <w:rFonts w:ascii="Arial" w:hAnsi="Arial" w:cs="Arial"/>
          <w:sz w:val="24"/>
          <w:szCs w:val="24"/>
        </w:rPr>
        <w:t>Las Naciones Unidas establecieron el 23 de junio como el Día para la</w:t>
      </w:r>
      <w:r w:rsidR="000470B7">
        <w:rPr>
          <w:rFonts w:ascii="Arial" w:hAnsi="Arial" w:cs="Arial"/>
          <w:sz w:val="24"/>
          <w:szCs w:val="24"/>
        </w:rPr>
        <w:t xml:space="preserve"> Administración Pública con el </w:t>
      </w:r>
      <w:r w:rsidRPr="00283BD7">
        <w:rPr>
          <w:rFonts w:ascii="Arial" w:hAnsi="Arial" w:cs="Arial"/>
          <w:sz w:val="24"/>
          <w:szCs w:val="24"/>
        </w:rPr>
        <w:t>objetivo de revitalizar la administración pública creando una cultura de renovación, colaboración y respuesta a la</w:t>
      </w:r>
      <w:r w:rsidR="000470B7">
        <w:rPr>
          <w:rFonts w:ascii="Arial" w:hAnsi="Arial" w:cs="Arial"/>
          <w:sz w:val="24"/>
          <w:szCs w:val="24"/>
        </w:rPr>
        <w:t>s necesidades de los ciudadanos</w:t>
      </w:r>
      <w:r w:rsidRPr="00283BD7">
        <w:rPr>
          <w:rFonts w:ascii="Arial" w:hAnsi="Arial" w:cs="Arial"/>
          <w:sz w:val="24"/>
          <w:szCs w:val="24"/>
        </w:rPr>
        <w:t xml:space="preserve">, poniendo en relieve su contribución al proceso de desarrollo. </w:t>
      </w:r>
    </w:p>
    <w:p w14:paraId="7AFEF3A6" w14:textId="3FC491AD" w:rsidR="005D578A" w:rsidRDefault="005D578A" w:rsidP="00E31149">
      <w:pPr>
        <w:jc w:val="both"/>
        <w:rPr>
          <w:rFonts w:ascii="Arial" w:hAnsi="Arial" w:cs="Arial"/>
          <w:sz w:val="24"/>
          <w:szCs w:val="24"/>
        </w:rPr>
      </w:pPr>
      <w:r w:rsidRPr="005D578A">
        <w:rPr>
          <w:rFonts w:ascii="Arial" w:hAnsi="Arial" w:cs="Arial"/>
          <w:sz w:val="24"/>
          <w:szCs w:val="24"/>
        </w:rPr>
        <w:t>A pesar de la gravedad del delito de enriquecimiento ilícito cometido por servidores públicos</w:t>
      </w:r>
      <w:r>
        <w:rPr>
          <w:rFonts w:ascii="Arial" w:hAnsi="Arial" w:cs="Arial"/>
          <w:sz w:val="24"/>
          <w:szCs w:val="24"/>
        </w:rPr>
        <w:t>,</w:t>
      </w:r>
      <w:r w:rsidRPr="005D578A">
        <w:rPr>
          <w:rFonts w:ascii="Arial" w:hAnsi="Arial" w:cs="Arial"/>
          <w:sz w:val="24"/>
          <w:szCs w:val="24"/>
        </w:rPr>
        <w:t xml:space="preserve"> no se encuentra </w:t>
      </w:r>
      <w:r>
        <w:rPr>
          <w:rFonts w:ascii="Arial" w:hAnsi="Arial" w:cs="Arial"/>
          <w:sz w:val="24"/>
          <w:szCs w:val="24"/>
        </w:rPr>
        <w:t xml:space="preserve">en la actualidad </w:t>
      </w:r>
      <w:r w:rsidRPr="005D578A">
        <w:rPr>
          <w:rFonts w:ascii="Arial" w:hAnsi="Arial" w:cs="Arial"/>
          <w:sz w:val="24"/>
          <w:szCs w:val="24"/>
        </w:rPr>
        <w:t xml:space="preserve">en la lista de los delitos graves establecidos con el Código Penal del Estado de Yucatán, por lo que quien cometa este delito </w:t>
      </w:r>
      <w:r w:rsidR="00893723">
        <w:rPr>
          <w:rFonts w:ascii="Arial" w:hAnsi="Arial" w:cs="Arial"/>
          <w:sz w:val="24"/>
          <w:szCs w:val="24"/>
        </w:rPr>
        <w:t xml:space="preserve">hoy en día </w:t>
      </w:r>
      <w:r>
        <w:rPr>
          <w:rFonts w:ascii="Arial" w:hAnsi="Arial" w:cs="Arial"/>
          <w:sz w:val="24"/>
          <w:szCs w:val="24"/>
        </w:rPr>
        <w:t xml:space="preserve">en el estado </w:t>
      </w:r>
      <w:r w:rsidRPr="005D578A">
        <w:rPr>
          <w:rFonts w:ascii="Arial" w:hAnsi="Arial" w:cs="Arial"/>
          <w:sz w:val="24"/>
          <w:szCs w:val="24"/>
        </w:rPr>
        <w:t xml:space="preserve">tendrá el derecho de llevar su proceso en </w:t>
      </w:r>
      <w:r w:rsidR="00893723">
        <w:rPr>
          <w:rFonts w:ascii="Arial" w:hAnsi="Arial" w:cs="Arial"/>
          <w:sz w:val="24"/>
          <w:szCs w:val="24"/>
        </w:rPr>
        <w:t xml:space="preserve">libertad provisional bajo </w:t>
      </w:r>
      <w:r w:rsidRPr="005D578A">
        <w:rPr>
          <w:rFonts w:ascii="Arial" w:hAnsi="Arial" w:cs="Arial"/>
          <w:sz w:val="24"/>
          <w:szCs w:val="24"/>
        </w:rPr>
        <w:t xml:space="preserve">caución, a que hace referencia el Código de </w:t>
      </w:r>
      <w:r w:rsidRPr="005D578A">
        <w:rPr>
          <w:rFonts w:ascii="Arial" w:hAnsi="Arial" w:cs="Arial"/>
          <w:sz w:val="24"/>
          <w:szCs w:val="24"/>
        </w:rPr>
        <w:t>Procedimientos en Materia Penal.</w:t>
      </w:r>
    </w:p>
    <w:p w14:paraId="02E772AD" w14:textId="577FB41E" w:rsidR="008F5CD2" w:rsidRPr="008F5CD2" w:rsidRDefault="008F5CD2" w:rsidP="00E31149">
      <w:pPr>
        <w:jc w:val="both"/>
        <w:rPr>
          <w:rFonts w:ascii="Arial" w:hAnsi="Arial" w:cs="Arial"/>
          <w:i/>
          <w:sz w:val="24"/>
          <w:szCs w:val="24"/>
        </w:rPr>
      </w:pPr>
      <w:r w:rsidRPr="008F5CD2">
        <w:rPr>
          <w:rFonts w:ascii="Arial" w:hAnsi="Arial" w:cs="Arial"/>
          <w:i/>
          <w:sz w:val="24"/>
          <w:szCs w:val="24"/>
        </w:rPr>
        <w:t>El Código Penal</w:t>
      </w:r>
      <w:r w:rsidR="00893723">
        <w:rPr>
          <w:rFonts w:ascii="Arial" w:hAnsi="Arial" w:cs="Arial"/>
          <w:i/>
          <w:sz w:val="24"/>
          <w:szCs w:val="24"/>
        </w:rPr>
        <w:t xml:space="preserve"> del Estado de Yucatán establece lo</w:t>
      </w:r>
      <w:r w:rsidRPr="008F5CD2">
        <w:rPr>
          <w:rFonts w:ascii="Arial" w:hAnsi="Arial" w:cs="Arial"/>
          <w:i/>
          <w:sz w:val="24"/>
          <w:szCs w:val="24"/>
        </w:rPr>
        <w:t xml:space="preserve"> siguiente con respecto al delito de enriquecimiento ilícito:</w:t>
      </w:r>
    </w:p>
    <w:p w14:paraId="6284F924" w14:textId="0A741829" w:rsidR="000470B7" w:rsidRP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8F5CD2">
        <w:rPr>
          <w:rFonts w:ascii="Arial" w:hAnsi="Arial" w:cs="Arial"/>
          <w:i/>
          <w:sz w:val="24"/>
          <w:szCs w:val="24"/>
        </w:rPr>
        <w:lastRenderedPageBreak/>
        <w:t xml:space="preserve">Artículo 265.- </w:t>
      </w:r>
      <w:r w:rsidRPr="000470B7">
        <w:rPr>
          <w:rFonts w:ascii="Arial" w:hAnsi="Arial" w:cs="Arial"/>
          <w:sz w:val="24"/>
          <w:szCs w:val="24"/>
        </w:rPr>
        <w:t xml:space="preserve">Se sancionará a </w:t>
      </w:r>
      <w:proofErr w:type="gramStart"/>
      <w:r w:rsidRPr="000470B7">
        <w:rPr>
          <w:rFonts w:ascii="Arial" w:hAnsi="Arial" w:cs="Arial"/>
          <w:sz w:val="24"/>
          <w:szCs w:val="24"/>
        </w:rPr>
        <w:t>quien</w:t>
      </w:r>
      <w:proofErr w:type="gramEnd"/>
      <w:r w:rsidRPr="000470B7">
        <w:rPr>
          <w:rFonts w:ascii="Arial" w:hAnsi="Arial" w:cs="Arial"/>
          <w:sz w:val="24"/>
          <w:szCs w:val="24"/>
        </w:rPr>
        <w:t xml:space="preserve"> con motivo de su empleo, cargo o comisión en el servicio público, haya incurrido en enriquecimiento ilícito. Existe enriquecimiento ilícito cuando el servidor público no pudiere acreditar el legítimo aumento de su patrimonio o la legítima procedencia de los bienes a su nombre o de aquellos respecto de los cuales se conduzca como dueño. Incurre en responsabilidad penal, asimismo, quien haga figurar como suyos bienes que el servidor público adquiera o haya adquirido en contravención de lo dispuesto en la misma ley, a sa</w:t>
      </w:r>
      <w:r w:rsidR="00893723">
        <w:rPr>
          <w:rFonts w:ascii="Arial" w:hAnsi="Arial" w:cs="Arial"/>
          <w:sz w:val="24"/>
          <w:szCs w:val="24"/>
        </w:rPr>
        <w:t xml:space="preserve">biendas de esta circunstancia. </w:t>
      </w:r>
    </w:p>
    <w:p w14:paraId="73C54A17" w14:textId="019E0ADC" w:rsidR="000470B7" w:rsidRP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0470B7">
        <w:rPr>
          <w:rFonts w:ascii="Arial" w:hAnsi="Arial" w:cs="Arial"/>
          <w:sz w:val="24"/>
          <w:szCs w:val="24"/>
        </w:rPr>
        <w:t>Para efectos del párrafo anterior, se computarán entre los bienes que adquieran los servidores públicos o con respecto de los cuales se conduzcan como dueños, los que reciban o de los que dispongan su cónyuge y sus dependientes económicos directos, salvo que el servidor público acredite que estos</w:t>
      </w:r>
      <w:r w:rsidR="008F5CD2">
        <w:rPr>
          <w:rFonts w:ascii="Arial" w:hAnsi="Arial" w:cs="Arial"/>
          <w:sz w:val="24"/>
          <w:szCs w:val="24"/>
        </w:rPr>
        <w:t xml:space="preserve"> los obtuvieron por sí mismos. </w:t>
      </w:r>
      <w:r w:rsidRPr="000470B7">
        <w:rPr>
          <w:rFonts w:ascii="Arial" w:hAnsi="Arial" w:cs="Arial"/>
          <w:sz w:val="24"/>
          <w:szCs w:val="24"/>
        </w:rPr>
        <w:t xml:space="preserve"> </w:t>
      </w:r>
    </w:p>
    <w:p w14:paraId="3C2851DD" w14:textId="5AC71A64" w:rsidR="000470B7" w:rsidRP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0470B7">
        <w:rPr>
          <w:rFonts w:ascii="Arial" w:hAnsi="Arial" w:cs="Arial"/>
          <w:sz w:val="24"/>
          <w:szCs w:val="24"/>
        </w:rPr>
        <w:t>No será enriquecimiento ilícito en caso de que el aumento del patrimonio sea producto de una conducta que encuadre en otra hipótesis de este título. En este caso</w:t>
      </w:r>
      <w:r w:rsidRPr="000470B7">
        <w:t xml:space="preserve"> </w:t>
      </w:r>
      <w:r w:rsidRPr="000470B7">
        <w:rPr>
          <w:rFonts w:ascii="Arial" w:hAnsi="Arial" w:cs="Arial"/>
          <w:sz w:val="24"/>
          <w:szCs w:val="24"/>
        </w:rPr>
        <w:t>se aplicará la hipótesis y la sanción correspondiente, sin que dé</w:t>
      </w:r>
      <w:r>
        <w:rPr>
          <w:rFonts w:ascii="Arial" w:hAnsi="Arial" w:cs="Arial"/>
          <w:sz w:val="24"/>
          <w:szCs w:val="24"/>
        </w:rPr>
        <w:t xml:space="preserve"> lugar al concurso de delitos. </w:t>
      </w:r>
    </w:p>
    <w:p w14:paraId="3DDAF959" w14:textId="6D108577" w:rsidR="000470B7" w:rsidRP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8F5CD2">
        <w:rPr>
          <w:rFonts w:ascii="Arial" w:hAnsi="Arial" w:cs="Arial"/>
          <w:i/>
          <w:sz w:val="24"/>
          <w:szCs w:val="24"/>
        </w:rPr>
        <w:t>Artículo 266.-</w:t>
      </w:r>
      <w:r w:rsidRPr="000470B7">
        <w:rPr>
          <w:rFonts w:ascii="Arial" w:hAnsi="Arial" w:cs="Arial"/>
          <w:sz w:val="24"/>
          <w:szCs w:val="24"/>
        </w:rPr>
        <w:t xml:space="preserve"> Al que cometa el delito de enriquecimiento ilícito se le impondrán, además del decomiso en beneficio del estado de aquellos bienes cuya procedencia no se logre acredi</w:t>
      </w:r>
      <w:r w:rsidR="008F5CD2">
        <w:rPr>
          <w:rFonts w:ascii="Arial" w:hAnsi="Arial" w:cs="Arial"/>
          <w:sz w:val="24"/>
          <w:szCs w:val="24"/>
        </w:rPr>
        <w:t xml:space="preserve">tar, las siguientes sanciones: </w:t>
      </w:r>
    </w:p>
    <w:p w14:paraId="5617F613" w14:textId="71083A97" w:rsidR="000470B7" w:rsidRP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0470B7">
        <w:rPr>
          <w:rFonts w:ascii="Arial" w:hAnsi="Arial" w:cs="Arial"/>
          <w:sz w:val="24"/>
          <w:szCs w:val="24"/>
        </w:rPr>
        <w:t>I.- Cuando el monto a que ascienda el enriquecimiento ilícito no exceda del equivalente de cinco mil unidades de medida y actualización se impondrán de tres meses a dos años de prisión y d</w:t>
      </w:r>
      <w:r w:rsidR="008F5CD2">
        <w:rPr>
          <w:rFonts w:ascii="Arial" w:hAnsi="Arial" w:cs="Arial"/>
          <w:sz w:val="24"/>
          <w:szCs w:val="24"/>
        </w:rPr>
        <w:t xml:space="preserve">e treinta a cien días-multa, o </w:t>
      </w:r>
    </w:p>
    <w:p w14:paraId="78C3D439" w14:textId="769E0AF9" w:rsidR="000470B7" w:rsidRDefault="000470B7" w:rsidP="000470B7">
      <w:pPr>
        <w:jc w:val="both"/>
        <w:rPr>
          <w:rFonts w:ascii="Arial" w:hAnsi="Arial" w:cs="Arial"/>
          <w:sz w:val="24"/>
          <w:szCs w:val="24"/>
        </w:rPr>
      </w:pPr>
      <w:r w:rsidRPr="000470B7">
        <w:rPr>
          <w:rFonts w:ascii="Arial" w:hAnsi="Arial" w:cs="Arial"/>
          <w:sz w:val="24"/>
          <w:szCs w:val="24"/>
        </w:rPr>
        <w:t>II.- Cuando el monto a que ascienda el enriquecimiento ilícito exceda del equivalente de cinco mil unidades de medida y actualización se impondrán de dos años a catorce años de prisión y multa de cien a ciento cincuenta días-multa.</w:t>
      </w:r>
    </w:p>
    <w:p w14:paraId="2817F1C3" w14:textId="678D2D0A" w:rsidR="008F5CD2" w:rsidRDefault="008F5CD2" w:rsidP="00047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en ese sentido que propongo reformar el artículo 13 del Código Penal del Estado</w:t>
      </w:r>
      <w:r w:rsidR="006652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la finalidad de que se contemple como delito grave sin libertad provisional bajo caución el delito de enriquecimiento ilícito</w:t>
      </w:r>
      <w:r w:rsidR="006652D6">
        <w:rPr>
          <w:rFonts w:ascii="Arial" w:hAnsi="Arial" w:cs="Arial"/>
          <w:sz w:val="24"/>
          <w:szCs w:val="24"/>
        </w:rPr>
        <w:t xml:space="preserve"> en Yucatán</w:t>
      </w:r>
      <w:r>
        <w:rPr>
          <w:rFonts w:ascii="Arial" w:hAnsi="Arial" w:cs="Arial"/>
          <w:sz w:val="24"/>
          <w:szCs w:val="24"/>
        </w:rPr>
        <w:t>.</w:t>
      </w:r>
    </w:p>
    <w:p w14:paraId="564DF88B" w14:textId="0D4E997F" w:rsidR="008425C9" w:rsidRDefault="00AE7D04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servicio público es una gran responsabilidad para servir a la población, y se debe ejercer a cabalidad con principios y valores, buscando siempre el bien com</w:t>
      </w:r>
      <w:r w:rsidR="00283BD7">
        <w:rPr>
          <w:rFonts w:ascii="Arial" w:hAnsi="Arial" w:cs="Arial"/>
          <w:sz w:val="24"/>
          <w:szCs w:val="24"/>
        </w:rPr>
        <w:t xml:space="preserve">ún de toda la sociedad </w:t>
      </w:r>
      <w:r>
        <w:rPr>
          <w:rFonts w:ascii="Arial" w:hAnsi="Arial" w:cs="Arial"/>
          <w:sz w:val="24"/>
          <w:szCs w:val="24"/>
        </w:rPr>
        <w:t xml:space="preserve">y no el interés personal.  </w:t>
      </w:r>
    </w:p>
    <w:p w14:paraId="50E4EBE7" w14:textId="77777777" w:rsidR="00933F37" w:rsidRPr="004B67ED" w:rsidRDefault="00933F37" w:rsidP="00933F37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14:paraId="793AEF8E" w14:textId="554C30F0" w:rsidR="00933F37" w:rsidRPr="002A401B" w:rsidRDefault="00E6409F" w:rsidP="00933F3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POR EL QUE </w:t>
      </w:r>
      <w:r w:rsidR="00D018C0">
        <w:rPr>
          <w:rFonts w:ascii="Arial" w:hAnsi="Arial" w:cs="Arial"/>
          <w:b/>
          <w:sz w:val="26"/>
          <w:szCs w:val="26"/>
        </w:rPr>
        <w:t>SE</w:t>
      </w:r>
      <w:r w:rsidR="007972D4">
        <w:rPr>
          <w:rFonts w:ascii="Arial" w:hAnsi="Arial" w:cs="Arial"/>
          <w:b/>
          <w:sz w:val="26"/>
          <w:szCs w:val="26"/>
        </w:rPr>
        <w:t xml:space="preserve"> REFORMA</w:t>
      </w:r>
      <w:r w:rsidR="00735FB3">
        <w:rPr>
          <w:rFonts w:ascii="Arial" w:hAnsi="Arial" w:cs="Arial"/>
          <w:b/>
          <w:sz w:val="26"/>
          <w:szCs w:val="26"/>
        </w:rPr>
        <w:t xml:space="preserve"> </w:t>
      </w:r>
      <w:r w:rsidR="00C3518C">
        <w:rPr>
          <w:rFonts w:ascii="Arial" w:hAnsi="Arial" w:cs="Arial"/>
          <w:b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ARTÍCULO</w:t>
      </w:r>
      <w:r w:rsidR="000A371E">
        <w:rPr>
          <w:rFonts w:ascii="Arial" w:hAnsi="Arial" w:cs="Arial"/>
          <w:b/>
          <w:sz w:val="26"/>
          <w:szCs w:val="26"/>
        </w:rPr>
        <w:t xml:space="preserve"> </w:t>
      </w:r>
      <w:r w:rsidR="00735FB3">
        <w:rPr>
          <w:rFonts w:ascii="Arial" w:hAnsi="Arial" w:cs="Arial"/>
          <w:b/>
          <w:sz w:val="26"/>
          <w:szCs w:val="26"/>
        </w:rPr>
        <w:t xml:space="preserve">DEL </w:t>
      </w:r>
      <w:r w:rsidR="008869C2">
        <w:rPr>
          <w:rFonts w:ascii="Arial" w:hAnsi="Arial" w:cs="Arial"/>
          <w:b/>
          <w:sz w:val="26"/>
          <w:szCs w:val="26"/>
        </w:rPr>
        <w:t xml:space="preserve">CÓDIGO PENAL </w:t>
      </w:r>
      <w:r>
        <w:rPr>
          <w:rFonts w:ascii="Arial" w:hAnsi="Arial" w:cs="Arial"/>
          <w:b/>
          <w:sz w:val="26"/>
          <w:szCs w:val="26"/>
        </w:rPr>
        <w:t>DEL ESTADO</w:t>
      </w:r>
      <w:r w:rsidR="00933F37">
        <w:rPr>
          <w:rFonts w:ascii="Arial" w:hAnsi="Arial" w:cs="Arial"/>
          <w:b/>
          <w:sz w:val="26"/>
          <w:szCs w:val="26"/>
        </w:rPr>
        <w:t xml:space="preserve"> </w:t>
      </w:r>
      <w:r w:rsidR="00933F37" w:rsidRPr="002A401B">
        <w:rPr>
          <w:rFonts w:ascii="Arial" w:hAnsi="Arial" w:cs="Arial"/>
          <w:b/>
          <w:sz w:val="26"/>
          <w:szCs w:val="26"/>
        </w:rPr>
        <w:t>DE YUCATÁN</w:t>
      </w:r>
      <w:r w:rsidR="008869C2">
        <w:rPr>
          <w:rFonts w:ascii="Arial" w:hAnsi="Arial" w:cs="Arial"/>
          <w:b/>
          <w:sz w:val="26"/>
          <w:szCs w:val="26"/>
        </w:rPr>
        <w:t xml:space="preserve"> EN MATERIA DE </w:t>
      </w:r>
      <w:r w:rsidR="00C3518C">
        <w:rPr>
          <w:rFonts w:ascii="Arial" w:hAnsi="Arial" w:cs="Arial"/>
          <w:b/>
          <w:sz w:val="26"/>
          <w:szCs w:val="26"/>
        </w:rPr>
        <w:t>DELITOS GRAVES</w:t>
      </w:r>
      <w:r w:rsidR="00933F37" w:rsidRPr="002A401B">
        <w:rPr>
          <w:rFonts w:ascii="Arial" w:hAnsi="Arial" w:cs="Arial"/>
          <w:sz w:val="26"/>
          <w:szCs w:val="26"/>
        </w:rPr>
        <w:t>.</w:t>
      </w:r>
    </w:p>
    <w:p w14:paraId="65051757" w14:textId="77777777" w:rsidR="0078126F" w:rsidRDefault="00933F37" w:rsidP="00E6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PROYECTO DE </w:t>
      </w:r>
      <w:r w:rsidRPr="002A3AD2">
        <w:rPr>
          <w:b/>
          <w:sz w:val="28"/>
          <w:szCs w:val="28"/>
        </w:rPr>
        <w:t>DECRETO</w:t>
      </w:r>
    </w:p>
    <w:p w14:paraId="0F5D4F15" w14:textId="0980B2A5" w:rsidR="00455310" w:rsidRDefault="00956CF1" w:rsidP="00956C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</w:t>
      </w:r>
      <w:r w:rsidR="004C5A33">
        <w:rPr>
          <w:rFonts w:ascii="Arial" w:hAnsi="Arial" w:cs="Arial"/>
          <w:b/>
          <w:sz w:val="24"/>
          <w:szCs w:val="24"/>
        </w:rPr>
        <w:t xml:space="preserve"> reforma</w:t>
      </w:r>
      <w:r w:rsidR="00032406">
        <w:rPr>
          <w:rFonts w:ascii="Arial" w:hAnsi="Arial" w:cs="Arial"/>
          <w:b/>
          <w:sz w:val="24"/>
          <w:szCs w:val="24"/>
        </w:rPr>
        <w:t xml:space="preserve"> el artículo 13</w:t>
      </w:r>
      <w:r w:rsidR="00C3518C">
        <w:rPr>
          <w:rFonts w:ascii="Arial" w:hAnsi="Arial" w:cs="Arial"/>
          <w:b/>
          <w:sz w:val="24"/>
          <w:szCs w:val="24"/>
        </w:rPr>
        <w:t xml:space="preserve"> </w:t>
      </w:r>
      <w:r w:rsidR="00B2071B">
        <w:rPr>
          <w:rFonts w:ascii="Arial" w:hAnsi="Arial" w:cs="Arial"/>
          <w:b/>
          <w:sz w:val="24"/>
          <w:szCs w:val="24"/>
        </w:rPr>
        <w:t>del</w:t>
      </w:r>
      <w:r w:rsidR="00032406">
        <w:rPr>
          <w:rFonts w:ascii="Arial" w:hAnsi="Arial" w:cs="Arial"/>
          <w:b/>
          <w:sz w:val="24"/>
          <w:szCs w:val="24"/>
        </w:rPr>
        <w:t xml:space="preserve"> Código Penal del Estado de Yucatán</w:t>
      </w:r>
      <w:r w:rsidR="006F2B6C">
        <w:rPr>
          <w:rFonts w:ascii="Arial" w:hAnsi="Arial" w:cs="Arial"/>
          <w:b/>
          <w:sz w:val="24"/>
          <w:szCs w:val="24"/>
        </w:rPr>
        <w:t xml:space="preserve">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266F5" w:rsidRPr="00D81BBC" w14:paraId="27EC10D8" w14:textId="77777777" w:rsidTr="00B15546">
        <w:trPr>
          <w:trHeight w:val="558"/>
        </w:trPr>
        <w:tc>
          <w:tcPr>
            <w:tcW w:w="4512" w:type="dxa"/>
          </w:tcPr>
          <w:p w14:paraId="09AF9061" w14:textId="77777777"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12" w:type="dxa"/>
          </w:tcPr>
          <w:p w14:paraId="2F42921C" w14:textId="77777777"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9266F5" w:rsidRPr="00D81BBC" w14:paraId="0FB8786C" w14:textId="77777777" w:rsidTr="00B15546">
        <w:trPr>
          <w:trHeight w:val="364"/>
        </w:trPr>
        <w:tc>
          <w:tcPr>
            <w:tcW w:w="4512" w:type="dxa"/>
          </w:tcPr>
          <w:p w14:paraId="264EEBB0" w14:textId="77777777" w:rsidR="002250B8" w:rsidRPr="002250B8" w:rsidRDefault="002250B8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2250B8">
              <w:rPr>
                <w:sz w:val="24"/>
                <w:szCs w:val="24"/>
              </w:rPr>
              <w:t xml:space="preserve">Artículo 13.- Para todos los efectos legales, por afectar de manera importante valores fundamentales de la sociedad, se califican como delitos graves los siguientes: contra el orden constitucional, previsto por el artículo 137; rebelión, previsto por el artículo 139; evasión de presos, previsto por el artículo 153; corrupción de menores e incapaces, previsto por el artículo 208; trata de menores, previsto por el artículo 210; pornografía infantil, previsto por el artículo 211; incesto, previsto por el artículo 227; allanamiento de morada con violencia, previsto en el segundo párrafo del artículo 236; asalto, previsto por los artículos 237, 239 y 240; privación ilegal de la libertad, previsto por los artículos 241 fracción I y 242; tortura, previsto en la Ley General para Prevenir, Investigar y Sancionar la Tortura y Otros Tratos o Penas Crueles, Inhumanos o Degradantes; falsificación de documentos, previsto en el artículo 284-bis; violación, previsto por el artículo 313; violación equiparada, definido por el artículo 315; robo calificado previsto en la fracción I del artículo 335, independientemente del importe de lo robado; así como en las demás fracciones del mismo artículo cuando el importe sea el establecido en las fracciones III o IV del numeral 333; robo con violencia previsto en el artículo 330, en relación con el 336; robo relacionado con vehículo automotor, previsto en el artículo 338, fracciones I, II, IV y VI; robo de ganado mayor, previsto por el artículo 339, a partir de dos piezas; robo de ganado menor, previsto por el artículo </w:t>
            </w:r>
            <w:r w:rsidRPr="002250B8">
              <w:rPr>
                <w:sz w:val="24"/>
                <w:szCs w:val="24"/>
              </w:rPr>
              <w:lastRenderedPageBreak/>
              <w:t>340, cuando el importe de lo robado sea el establecido en la fracción IV del artículo 333; las conductas previstas en el artículo 347; daño en propiedad ajena por incendio o explosión previsto por los artículos 348 y 349; lesiones, previsto por los artículos 360, 361, 362 y 363; homicidio doloso, previsto por el artículo 368, en relación con el</w:t>
            </w:r>
            <w:r>
              <w:rPr>
                <w:sz w:val="24"/>
                <w:szCs w:val="24"/>
              </w:rPr>
              <w:t xml:space="preserve"> </w:t>
            </w:r>
            <w:r w:rsidRPr="002250B8">
              <w:rPr>
                <w:sz w:val="24"/>
                <w:szCs w:val="24"/>
              </w:rPr>
              <w:t xml:space="preserve">372, 378, 384 y 385; homicidio en razón del parentesco o relación, previsto en el artículo 394, y feminicidio, previsto en el artículo 394 </w:t>
            </w:r>
            <w:proofErr w:type="spellStart"/>
            <w:r w:rsidRPr="002250B8">
              <w:rPr>
                <w:sz w:val="24"/>
                <w:szCs w:val="24"/>
              </w:rPr>
              <w:t>Quinquies</w:t>
            </w:r>
            <w:proofErr w:type="spellEnd"/>
            <w:r w:rsidRPr="002250B8">
              <w:rPr>
                <w:sz w:val="24"/>
                <w:szCs w:val="24"/>
              </w:rPr>
              <w:t xml:space="preserve">. </w:t>
            </w:r>
          </w:p>
          <w:p w14:paraId="64787A6F" w14:textId="77777777" w:rsidR="00893723" w:rsidRDefault="00893723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2985360" w14:textId="77777777" w:rsidR="00893723" w:rsidRDefault="00893723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CB481C6" w14:textId="7CFDE071" w:rsidR="00370F9F" w:rsidRDefault="002250B8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C70A69" w14:textId="77777777" w:rsidR="00893723" w:rsidRPr="005D578A" w:rsidRDefault="00893723" w:rsidP="00893723">
            <w:pPr>
              <w:jc w:val="both"/>
              <w:rPr>
                <w:sz w:val="24"/>
                <w:szCs w:val="24"/>
              </w:rPr>
            </w:pPr>
            <w:r w:rsidRPr="005D578A">
              <w:rPr>
                <w:sz w:val="24"/>
                <w:szCs w:val="24"/>
              </w:rPr>
              <w:t xml:space="preserve">A quienes se atribuya haber cometido algún delito grave de los señalados en el párrafo anterior, no tendrán derecho a la libertad provisional bajo caución, a que hace referencia el Código de Procedimientos en Materia Penal. </w:t>
            </w:r>
          </w:p>
          <w:p w14:paraId="23F73E8F" w14:textId="77777777" w:rsidR="00E13A09" w:rsidRPr="00C5492F" w:rsidRDefault="00E13A09" w:rsidP="005F5F9D">
            <w:pPr>
              <w:rPr>
                <w:sz w:val="24"/>
                <w:szCs w:val="24"/>
                <w:lang w:eastAsia="es-CO"/>
              </w:rPr>
            </w:pPr>
          </w:p>
        </w:tc>
        <w:tc>
          <w:tcPr>
            <w:tcW w:w="4512" w:type="dxa"/>
          </w:tcPr>
          <w:p w14:paraId="66A0914E" w14:textId="2C27EBD2" w:rsidR="005F5F9D" w:rsidRDefault="005F5F9D" w:rsidP="005F5F9D">
            <w:pPr>
              <w:pStyle w:val="Sinespaciado"/>
              <w:jc w:val="both"/>
              <w:rPr>
                <w:sz w:val="24"/>
                <w:szCs w:val="24"/>
              </w:rPr>
            </w:pPr>
            <w:r w:rsidRPr="002250B8">
              <w:rPr>
                <w:sz w:val="24"/>
                <w:szCs w:val="24"/>
              </w:rPr>
              <w:lastRenderedPageBreak/>
              <w:t>Artículo 13.- Para todos los efectos legales, por afectar de manera importante valores fundamentales de la sociedad, se califican como delitos graves los siguientes: contra el orden constitucional, previsto por el artículo 137; rebelión, previsto por el artículo 139; evasión de presos, previsto por el artículo 153; corrupción de menores e incapaces, previsto por el artículo 208; trata de menores, previsto por el artículo 210; pornografía infantil, previsto por el artículo 211; incesto, previsto por el artículo 227; allanamiento de morada con violencia, previsto en el segundo párrafo del artículo 236; asalto, previsto por los artículos 237, 239 y 240; privación ilegal de la libertad, previsto por los artículos 241 fracción I y 242; tortura, previsto en la Ley General para Prevenir, Investigar y Sancionar la Tortura y Otros Tratos o Penas Crueles, Inhumanos o Degradantes;</w:t>
            </w:r>
            <w:r>
              <w:rPr>
                <w:sz w:val="24"/>
                <w:szCs w:val="24"/>
              </w:rPr>
              <w:t xml:space="preserve"> </w:t>
            </w:r>
            <w:r w:rsidRPr="005F5F9D">
              <w:rPr>
                <w:b/>
                <w:bCs/>
                <w:sz w:val="24"/>
                <w:szCs w:val="24"/>
              </w:rPr>
              <w:t>enriquecimiento ilícito, previsto en la fracción ll del artículo 266;</w:t>
            </w:r>
            <w:r w:rsidRPr="002250B8">
              <w:rPr>
                <w:sz w:val="24"/>
                <w:szCs w:val="24"/>
              </w:rPr>
              <w:t xml:space="preserve"> falsificación de documentos, previsto en el artículo 284-bis; violación, previsto por el artículo 313; violación equiparada, definido por el artículo 315; robo calificado previsto en la fracción I del artículo 335, independientemente del importe de lo robado; así como en las demás fracciones del mismo artículo cuando el importe sea el establecido en las fracciones III o IV del numeral 333; robo con violencia previsto en el artículo 330, en relación con el 336; robo relacionado con vehículo automotor, previsto en el artículo 338, fracciones I, II, IV y VI; robo de ganado mayor, previsto por </w:t>
            </w:r>
            <w:r w:rsidRPr="002250B8">
              <w:rPr>
                <w:sz w:val="24"/>
                <w:szCs w:val="24"/>
              </w:rPr>
              <w:lastRenderedPageBreak/>
              <w:t>el artículo 339, a partir de dos piezas; robo de ganado menor, previsto por el artículo 340, cuando el importe de lo robado sea el establecido en la fracción IV del artículo 333; las conductas previstas en el artículo 347; daño en propiedad ajena por incendio o explosión previsto por los artículos 348 y 349; lesiones, previsto por los artículos 360, 361, 362 y 363; homicidio doloso, previsto por el artículo 368, en relación con el</w:t>
            </w:r>
            <w:r>
              <w:rPr>
                <w:sz w:val="24"/>
                <w:szCs w:val="24"/>
              </w:rPr>
              <w:t xml:space="preserve"> </w:t>
            </w:r>
            <w:r w:rsidRPr="002250B8">
              <w:rPr>
                <w:sz w:val="24"/>
                <w:szCs w:val="24"/>
              </w:rPr>
              <w:t xml:space="preserve">372, 378, 384 y 385; homicidio en razón del parentesco o relación, previsto en el artículo 394, y feminicidio, previsto en el artículo 394 </w:t>
            </w:r>
            <w:proofErr w:type="spellStart"/>
            <w:r w:rsidRPr="002250B8">
              <w:rPr>
                <w:sz w:val="24"/>
                <w:szCs w:val="24"/>
              </w:rPr>
              <w:t>Quinquies</w:t>
            </w:r>
            <w:proofErr w:type="spellEnd"/>
            <w:r w:rsidRPr="002250B8">
              <w:rPr>
                <w:sz w:val="24"/>
                <w:szCs w:val="24"/>
              </w:rPr>
              <w:t xml:space="preserve">. </w:t>
            </w:r>
          </w:p>
          <w:p w14:paraId="128EB04F" w14:textId="77777777" w:rsidR="005D578A" w:rsidRDefault="005D578A" w:rsidP="005F5F9D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62171FB2" w14:textId="77777777" w:rsidR="005D578A" w:rsidRPr="005D578A" w:rsidRDefault="005D578A" w:rsidP="005D578A">
            <w:pPr>
              <w:jc w:val="both"/>
              <w:rPr>
                <w:sz w:val="24"/>
                <w:szCs w:val="24"/>
              </w:rPr>
            </w:pPr>
            <w:r w:rsidRPr="005D578A">
              <w:rPr>
                <w:sz w:val="24"/>
                <w:szCs w:val="24"/>
              </w:rPr>
              <w:t xml:space="preserve">A quienes se atribuya haber cometido algún delito grave de los señalados en el párrafo anterior, no tendrán derecho a la libertad provisional bajo caución, a que hace referencia el Código de Procedimientos en Materia Penal. </w:t>
            </w:r>
          </w:p>
          <w:p w14:paraId="20589AE6" w14:textId="77777777" w:rsidR="005D578A" w:rsidRPr="002250B8" w:rsidRDefault="005D578A" w:rsidP="005F5F9D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713169E5" w14:textId="77777777" w:rsidR="004022AD" w:rsidRPr="00E13A09" w:rsidRDefault="004022AD" w:rsidP="005F5F9D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</w:p>
        </w:tc>
      </w:tr>
      <w:tr w:rsidR="008869C2" w:rsidRPr="00D81BBC" w14:paraId="481EBCD4" w14:textId="77777777" w:rsidTr="00B15546">
        <w:trPr>
          <w:trHeight w:val="364"/>
        </w:trPr>
        <w:tc>
          <w:tcPr>
            <w:tcW w:w="4512" w:type="dxa"/>
          </w:tcPr>
          <w:p w14:paraId="32F06F06" w14:textId="77777777"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14:paraId="4CDFFDF7" w14:textId="77777777"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3EF186" w14:textId="77777777" w:rsidR="004C5A33" w:rsidRPr="00956CF1" w:rsidRDefault="004C5A33" w:rsidP="00956CF1">
      <w:pPr>
        <w:rPr>
          <w:rFonts w:ascii="Arial" w:hAnsi="Arial" w:cs="Arial"/>
          <w:b/>
          <w:sz w:val="24"/>
          <w:szCs w:val="24"/>
        </w:rPr>
      </w:pPr>
    </w:p>
    <w:p w14:paraId="2FC479B9" w14:textId="77777777" w:rsidR="00285D22" w:rsidRPr="004C561A" w:rsidRDefault="00285D22" w:rsidP="004C561A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14:paraId="1F7E7218" w14:textId="77777777" w:rsidR="00285D22" w:rsidRPr="004C561A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50EBCBEC" w14:textId="2B08DE85" w:rsidR="00285D22" w:rsidRPr="00113CE8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C3518C">
        <w:rPr>
          <w:rFonts w:ascii="Arial" w:hAnsi="Arial" w:cs="Arial"/>
          <w:color w:val="000000" w:themeColor="text1"/>
          <w:sz w:val="26"/>
          <w:szCs w:val="26"/>
        </w:rPr>
        <w:t>tres</w:t>
      </w:r>
      <w:r w:rsidR="00113CE8"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del mes de </w:t>
      </w:r>
      <w:r w:rsidR="00C3518C">
        <w:rPr>
          <w:rFonts w:ascii="Arial" w:hAnsi="Arial" w:cs="Arial"/>
          <w:color w:val="000000" w:themeColor="text1"/>
          <w:sz w:val="26"/>
          <w:szCs w:val="26"/>
        </w:rPr>
        <w:t>julio</w:t>
      </w:r>
      <w:r w:rsidR="00956CF1">
        <w:rPr>
          <w:rFonts w:ascii="Arial" w:hAnsi="Arial" w:cs="Arial"/>
          <w:color w:val="000000" w:themeColor="text1"/>
          <w:sz w:val="26"/>
          <w:szCs w:val="26"/>
        </w:rPr>
        <w:t xml:space="preserve"> de 2019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0FB0856" w14:textId="77777777" w:rsidR="00285D22" w:rsidRDefault="00285D22" w:rsidP="00B30503">
      <w:pPr>
        <w:ind w:left="11" w:right="2"/>
        <w:rPr>
          <w:rFonts w:ascii="Arial" w:hAnsi="Arial" w:cs="Arial"/>
          <w:b/>
        </w:rPr>
      </w:pPr>
    </w:p>
    <w:p w14:paraId="397B786D" w14:textId="77777777" w:rsidR="00113CE8" w:rsidRPr="00285D22" w:rsidRDefault="00113CE8" w:rsidP="00B30503">
      <w:pPr>
        <w:ind w:left="11" w:right="2"/>
        <w:rPr>
          <w:rFonts w:ascii="Arial" w:hAnsi="Arial" w:cs="Arial"/>
          <w:b/>
        </w:rPr>
      </w:pPr>
    </w:p>
    <w:p w14:paraId="50C7B561" w14:textId="77777777" w:rsidR="00113CE8" w:rsidRPr="00113CE8" w:rsidRDefault="00113CE8" w:rsidP="00113CE8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KATHIA MARÍA BOLIO PINELO</w:t>
      </w:r>
    </w:p>
    <w:p w14:paraId="6C716931" w14:textId="688A7747" w:rsidR="00A63DAD" w:rsidRPr="006652D6" w:rsidRDefault="00113CE8" w:rsidP="006652D6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DIPUTADA</w:t>
      </w:r>
      <w:bookmarkStart w:id="0" w:name="_GoBack"/>
      <w:bookmarkEnd w:id="0"/>
      <w:r w:rsidRPr="00AD72C7">
        <w:rPr>
          <w:rFonts w:ascii="Arial" w:hAnsi="Arial" w:cs="Arial"/>
          <w:szCs w:val="24"/>
        </w:rPr>
        <w:t xml:space="preserve">                    </w:t>
      </w:r>
      <w:r>
        <w:rPr>
          <w:rFonts w:ascii="Arial" w:hAnsi="Arial" w:cs="Arial"/>
          <w:szCs w:val="24"/>
        </w:rPr>
        <w:t xml:space="preserve">                     </w:t>
      </w:r>
      <w:r w:rsidRPr="00AD72C7">
        <w:rPr>
          <w:rFonts w:ascii="Arial" w:hAnsi="Arial" w:cs="Arial"/>
          <w:szCs w:val="24"/>
        </w:rPr>
        <w:t xml:space="preserve">  </w:t>
      </w:r>
      <w:r w:rsidR="006652D6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 xml:space="preserve">        </w:t>
      </w:r>
    </w:p>
    <w:sectPr w:rsidR="00A63DAD" w:rsidRPr="00665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D2"/>
    <w:rsid w:val="00002D67"/>
    <w:rsid w:val="00006473"/>
    <w:rsid w:val="00021610"/>
    <w:rsid w:val="00032406"/>
    <w:rsid w:val="00036386"/>
    <w:rsid w:val="000470B7"/>
    <w:rsid w:val="0005265D"/>
    <w:rsid w:val="0005357A"/>
    <w:rsid w:val="00077989"/>
    <w:rsid w:val="00087305"/>
    <w:rsid w:val="000A371E"/>
    <w:rsid w:val="000A6AEE"/>
    <w:rsid w:val="000B3190"/>
    <w:rsid w:val="000B5400"/>
    <w:rsid w:val="000C1F77"/>
    <w:rsid w:val="000C344F"/>
    <w:rsid w:val="000C4357"/>
    <w:rsid w:val="000C4EC6"/>
    <w:rsid w:val="000D418D"/>
    <w:rsid w:val="000E65BF"/>
    <w:rsid w:val="000F02B5"/>
    <w:rsid w:val="000F0306"/>
    <w:rsid w:val="000F2F8A"/>
    <w:rsid w:val="000F656A"/>
    <w:rsid w:val="000F7728"/>
    <w:rsid w:val="001003FD"/>
    <w:rsid w:val="001041A3"/>
    <w:rsid w:val="001051A3"/>
    <w:rsid w:val="0010732B"/>
    <w:rsid w:val="0011266B"/>
    <w:rsid w:val="0011399C"/>
    <w:rsid w:val="00113CE8"/>
    <w:rsid w:val="00115713"/>
    <w:rsid w:val="00124FBC"/>
    <w:rsid w:val="00136DA5"/>
    <w:rsid w:val="00140D92"/>
    <w:rsid w:val="0014295D"/>
    <w:rsid w:val="00146239"/>
    <w:rsid w:val="00146A3B"/>
    <w:rsid w:val="0015048A"/>
    <w:rsid w:val="00163FAE"/>
    <w:rsid w:val="00181BE9"/>
    <w:rsid w:val="00191E02"/>
    <w:rsid w:val="001944CE"/>
    <w:rsid w:val="001B6E52"/>
    <w:rsid w:val="001C443D"/>
    <w:rsid w:val="001C4663"/>
    <w:rsid w:val="001C4BAB"/>
    <w:rsid w:val="001C73A3"/>
    <w:rsid w:val="001D1C73"/>
    <w:rsid w:val="001D2560"/>
    <w:rsid w:val="001D2C73"/>
    <w:rsid w:val="001D5B29"/>
    <w:rsid w:val="001D5BF1"/>
    <w:rsid w:val="001E48B5"/>
    <w:rsid w:val="001E4F00"/>
    <w:rsid w:val="001F4011"/>
    <w:rsid w:val="00204D1C"/>
    <w:rsid w:val="00206609"/>
    <w:rsid w:val="00215124"/>
    <w:rsid w:val="002250B8"/>
    <w:rsid w:val="002301F6"/>
    <w:rsid w:val="00235F93"/>
    <w:rsid w:val="0024066E"/>
    <w:rsid w:val="00240986"/>
    <w:rsid w:val="00242381"/>
    <w:rsid w:val="00243F4C"/>
    <w:rsid w:val="00252330"/>
    <w:rsid w:val="00256113"/>
    <w:rsid w:val="0027354D"/>
    <w:rsid w:val="00273A9E"/>
    <w:rsid w:val="002776A8"/>
    <w:rsid w:val="00283BD7"/>
    <w:rsid w:val="00285CE3"/>
    <w:rsid w:val="00285D22"/>
    <w:rsid w:val="00293C02"/>
    <w:rsid w:val="00295251"/>
    <w:rsid w:val="002A5B5C"/>
    <w:rsid w:val="002B5189"/>
    <w:rsid w:val="002C0AF0"/>
    <w:rsid w:val="002C7648"/>
    <w:rsid w:val="002D1C29"/>
    <w:rsid w:val="002D2CDB"/>
    <w:rsid w:val="002D36DE"/>
    <w:rsid w:val="002D5C01"/>
    <w:rsid w:val="002E56AC"/>
    <w:rsid w:val="002E6674"/>
    <w:rsid w:val="002F7794"/>
    <w:rsid w:val="002F7EC0"/>
    <w:rsid w:val="00315644"/>
    <w:rsid w:val="003176B3"/>
    <w:rsid w:val="00320703"/>
    <w:rsid w:val="00333A2F"/>
    <w:rsid w:val="00335024"/>
    <w:rsid w:val="00344318"/>
    <w:rsid w:val="00344FA2"/>
    <w:rsid w:val="00345357"/>
    <w:rsid w:val="003519ED"/>
    <w:rsid w:val="0035645C"/>
    <w:rsid w:val="00357A44"/>
    <w:rsid w:val="003622A4"/>
    <w:rsid w:val="003665DA"/>
    <w:rsid w:val="00370F9F"/>
    <w:rsid w:val="00383C16"/>
    <w:rsid w:val="003A40F7"/>
    <w:rsid w:val="003D002A"/>
    <w:rsid w:val="003D64A9"/>
    <w:rsid w:val="003D692D"/>
    <w:rsid w:val="003E4306"/>
    <w:rsid w:val="003F33DA"/>
    <w:rsid w:val="003F7204"/>
    <w:rsid w:val="004022AD"/>
    <w:rsid w:val="004157D7"/>
    <w:rsid w:val="0041692E"/>
    <w:rsid w:val="0042258B"/>
    <w:rsid w:val="00425A76"/>
    <w:rsid w:val="00433068"/>
    <w:rsid w:val="004350CA"/>
    <w:rsid w:val="0043672D"/>
    <w:rsid w:val="004371DA"/>
    <w:rsid w:val="004377BF"/>
    <w:rsid w:val="00437D00"/>
    <w:rsid w:val="00441B03"/>
    <w:rsid w:val="00441E53"/>
    <w:rsid w:val="0045119A"/>
    <w:rsid w:val="0045319B"/>
    <w:rsid w:val="00455310"/>
    <w:rsid w:val="00465465"/>
    <w:rsid w:val="004672C0"/>
    <w:rsid w:val="0048555E"/>
    <w:rsid w:val="004920A6"/>
    <w:rsid w:val="00495202"/>
    <w:rsid w:val="004A0926"/>
    <w:rsid w:val="004A70BA"/>
    <w:rsid w:val="004B407E"/>
    <w:rsid w:val="004B67ED"/>
    <w:rsid w:val="004B6D2E"/>
    <w:rsid w:val="004B7AE1"/>
    <w:rsid w:val="004C3CC3"/>
    <w:rsid w:val="004C561A"/>
    <w:rsid w:val="004C5A33"/>
    <w:rsid w:val="004D485C"/>
    <w:rsid w:val="004E17DB"/>
    <w:rsid w:val="004E76B9"/>
    <w:rsid w:val="00510DC4"/>
    <w:rsid w:val="005635B7"/>
    <w:rsid w:val="00591637"/>
    <w:rsid w:val="0059508A"/>
    <w:rsid w:val="005A2B9A"/>
    <w:rsid w:val="005A45B0"/>
    <w:rsid w:val="005A5674"/>
    <w:rsid w:val="005B71AB"/>
    <w:rsid w:val="005C6301"/>
    <w:rsid w:val="005D578A"/>
    <w:rsid w:val="005E35EB"/>
    <w:rsid w:val="005E4EFF"/>
    <w:rsid w:val="005F5E9A"/>
    <w:rsid w:val="005F5F9D"/>
    <w:rsid w:val="00606693"/>
    <w:rsid w:val="006073EB"/>
    <w:rsid w:val="00613743"/>
    <w:rsid w:val="00614F3E"/>
    <w:rsid w:val="00615833"/>
    <w:rsid w:val="00617150"/>
    <w:rsid w:val="006237A8"/>
    <w:rsid w:val="006247F4"/>
    <w:rsid w:val="00636EFB"/>
    <w:rsid w:val="006618C0"/>
    <w:rsid w:val="006652D6"/>
    <w:rsid w:val="00671D12"/>
    <w:rsid w:val="00677744"/>
    <w:rsid w:val="00681C7A"/>
    <w:rsid w:val="00690933"/>
    <w:rsid w:val="006A7B01"/>
    <w:rsid w:val="006B0625"/>
    <w:rsid w:val="006C0E48"/>
    <w:rsid w:val="006C1B6B"/>
    <w:rsid w:val="006C5C31"/>
    <w:rsid w:val="006C5F3D"/>
    <w:rsid w:val="006C7995"/>
    <w:rsid w:val="006E1364"/>
    <w:rsid w:val="006E3D6A"/>
    <w:rsid w:val="006E6CA4"/>
    <w:rsid w:val="006F0B98"/>
    <w:rsid w:val="006F2B6C"/>
    <w:rsid w:val="007057EE"/>
    <w:rsid w:val="00705DD7"/>
    <w:rsid w:val="00713C69"/>
    <w:rsid w:val="00722368"/>
    <w:rsid w:val="00735FB3"/>
    <w:rsid w:val="00743ECF"/>
    <w:rsid w:val="007469FD"/>
    <w:rsid w:val="007535B0"/>
    <w:rsid w:val="007542BB"/>
    <w:rsid w:val="00754933"/>
    <w:rsid w:val="00774150"/>
    <w:rsid w:val="00776783"/>
    <w:rsid w:val="0078126F"/>
    <w:rsid w:val="00787E39"/>
    <w:rsid w:val="007972D4"/>
    <w:rsid w:val="007B2220"/>
    <w:rsid w:val="007B6032"/>
    <w:rsid w:val="007D593A"/>
    <w:rsid w:val="007D7BD9"/>
    <w:rsid w:val="007F2B2D"/>
    <w:rsid w:val="007F3D3A"/>
    <w:rsid w:val="007F436F"/>
    <w:rsid w:val="00802ABC"/>
    <w:rsid w:val="00805097"/>
    <w:rsid w:val="00805B26"/>
    <w:rsid w:val="00807D57"/>
    <w:rsid w:val="008205D4"/>
    <w:rsid w:val="00824B7A"/>
    <w:rsid w:val="008369F6"/>
    <w:rsid w:val="008425C9"/>
    <w:rsid w:val="00846832"/>
    <w:rsid w:val="00847E05"/>
    <w:rsid w:val="00874A8F"/>
    <w:rsid w:val="008869C2"/>
    <w:rsid w:val="00893723"/>
    <w:rsid w:val="00896D7F"/>
    <w:rsid w:val="00897869"/>
    <w:rsid w:val="008A3E0F"/>
    <w:rsid w:val="008B1271"/>
    <w:rsid w:val="008B2292"/>
    <w:rsid w:val="008B31E5"/>
    <w:rsid w:val="008B70F1"/>
    <w:rsid w:val="008C0012"/>
    <w:rsid w:val="008D268A"/>
    <w:rsid w:val="008D7468"/>
    <w:rsid w:val="008D7F9F"/>
    <w:rsid w:val="008F0F08"/>
    <w:rsid w:val="008F5CD2"/>
    <w:rsid w:val="008F70FE"/>
    <w:rsid w:val="00923A2A"/>
    <w:rsid w:val="009266F5"/>
    <w:rsid w:val="00931C12"/>
    <w:rsid w:val="00933F37"/>
    <w:rsid w:val="00940BB5"/>
    <w:rsid w:val="009446AA"/>
    <w:rsid w:val="009541F2"/>
    <w:rsid w:val="00956CF1"/>
    <w:rsid w:val="0096694B"/>
    <w:rsid w:val="009733F6"/>
    <w:rsid w:val="00980470"/>
    <w:rsid w:val="009A0F94"/>
    <w:rsid w:val="009B0B91"/>
    <w:rsid w:val="009C22E5"/>
    <w:rsid w:val="009C2665"/>
    <w:rsid w:val="009C677F"/>
    <w:rsid w:val="009D1D5B"/>
    <w:rsid w:val="009D32B2"/>
    <w:rsid w:val="009D3AD6"/>
    <w:rsid w:val="009D3FDF"/>
    <w:rsid w:val="009F4109"/>
    <w:rsid w:val="00A15428"/>
    <w:rsid w:val="00A23201"/>
    <w:rsid w:val="00A31D45"/>
    <w:rsid w:val="00A47946"/>
    <w:rsid w:val="00A63DAD"/>
    <w:rsid w:val="00A65D6C"/>
    <w:rsid w:val="00A674B3"/>
    <w:rsid w:val="00A70672"/>
    <w:rsid w:val="00A815AE"/>
    <w:rsid w:val="00A82F3C"/>
    <w:rsid w:val="00A868C5"/>
    <w:rsid w:val="00A87C13"/>
    <w:rsid w:val="00A90876"/>
    <w:rsid w:val="00A916DF"/>
    <w:rsid w:val="00AA26A4"/>
    <w:rsid w:val="00AC368F"/>
    <w:rsid w:val="00AC6AEE"/>
    <w:rsid w:val="00AE1F0F"/>
    <w:rsid w:val="00AE7D04"/>
    <w:rsid w:val="00B003AD"/>
    <w:rsid w:val="00B01B63"/>
    <w:rsid w:val="00B03718"/>
    <w:rsid w:val="00B13393"/>
    <w:rsid w:val="00B15546"/>
    <w:rsid w:val="00B16950"/>
    <w:rsid w:val="00B2071B"/>
    <w:rsid w:val="00B21E5C"/>
    <w:rsid w:val="00B238BA"/>
    <w:rsid w:val="00B27154"/>
    <w:rsid w:val="00B30503"/>
    <w:rsid w:val="00B37AD4"/>
    <w:rsid w:val="00B51DDF"/>
    <w:rsid w:val="00B52C75"/>
    <w:rsid w:val="00B6046E"/>
    <w:rsid w:val="00B655E0"/>
    <w:rsid w:val="00B6566E"/>
    <w:rsid w:val="00B70A02"/>
    <w:rsid w:val="00B7764D"/>
    <w:rsid w:val="00B834A5"/>
    <w:rsid w:val="00B83ED7"/>
    <w:rsid w:val="00B924D6"/>
    <w:rsid w:val="00BA2C78"/>
    <w:rsid w:val="00BA3AED"/>
    <w:rsid w:val="00BB47B6"/>
    <w:rsid w:val="00BE2EB2"/>
    <w:rsid w:val="00BF68CD"/>
    <w:rsid w:val="00C066F6"/>
    <w:rsid w:val="00C1552C"/>
    <w:rsid w:val="00C3518C"/>
    <w:rsid w:val="00C5492F"/>
    <w:rsid w:val="00C60F43"/>
    <w:rsid w:val="00C64BBF"/>
    <w:rsid w:val="00C660AE"/>
    <w:rsid w:val="00C66104"/>
    <w:rsid w:val="00C67462"/>
    <w:rsid w:val="00C67EA9"/>
    <w:rsid w:val="00C74A69"/>
    <w:rsid w:val="00C92276"/>
    <w:rsid w:val="00CA4372"/>
    <w:rsid w:val="00CA5CBB"/>
    <w:rsid w:val="00CC0418"/>
    <w:rsid w:val="00CC0FE2"/>
    <w:rsid w:val="00CD5477"/>
    <w:rsid w:val="00CE64BB"/>
    <w:rsid w:val="00CF3C53"/>
    <w:rsid w:val="00CF4258"/>
    <w:rsid w:val="00CF4A58"/>
    <w:rsid w:val="00D018C0"/>
    <w:rsid w:val="00D06D91"/>
    <w:rsid w:val="00D11DE5"/>
    <w:rsid w:val="00D27473"/>
    <w:rsid w:val="00D613C7"/>
    <w:rsid w:val="00D74D97"/>
    <w:rsid w:val="00D75504"/>
    <w:rsid w:val="00D87C34"/>
    <w:rsid w:val="00D9334D"/>
    <w:rsid w:val="00D9697F"/>
    <w:rsid w:val="00D96FBB"/>
    <w:rsid w:val="00DB1FAA"/>
    <w:rsid w:val="00DD728B"/>
    <w:rsid w:val="00DE4861"/>
    <w:rsid w:val="00DE78C9"/>
    <w:rsid w:val="00DE7E7C"/>
    <w:rsid w:val="00DF2D15"/>
    <w:rsid w:val="00DF4A0F"/>
    <w:rsid w:val="00E00BC3"/>
    <w:rsid w:val="00E01695"/>
    <w:rsid w:val="00E0438B"/>
    <w:rsid w:val="00E06787"/>
    <w:rsid w:val="00E07CD2"/>
    <w:rsid w:val="00E10A9A"/>
    <w:rsid w:val="00E11793"/>
    <w:rsid w:val="00E122AB"/>
    <w:rsid w:val="00E13A09"/>
    <w:rsid w:val="00E31149"/>
    <w:rsid w:val="00E31761"/>
    <w:rsid w:val="00E32293"/>
    <w:rsid w:val="00E6409F"/>
    <w:rsid w:val="00E740B1"/>
    <w:rsid w:val="00E85B1E"/>
    <w:rsid w:val="00E85C74"/>
    <w:rsid w:val="00E9593D"/>
    <w:rsid w:val="00E96206"/>
    <w:rsid w:val="00E96A16"/>
    <w:rsid w:val="00E96EDD"/>
    <w:rsid w:val="00E97ACD"/>
    <w:rsid w:val="00EA5E1B"/>
    <w:rsid w:val="00EA6396"/>
    <w:rsid w:val="00EB0161"/>
    <w:rsid w:val="00EB6A85"/>
    <w:rsid w:val="00EC4B11"/>
    <w:rsid w:val="00ED0A25"/>
    <w:rsid w:val="00ED2F1C"/>
    <w:rsid w:val="00ED311F"/>
    <w:rsid w:val="00ED4B17"/>
    <w:rsid w:val="00ED6353"/>
    <w:rsid w:val="00EE4781"/>
    <w:rsid w:val="00EE6A85"/>
    <w:rsid w:val="00F04593"/>
    <w:rsid w:val="00F10070"/>
    <w:rsid w:val="00F10098"/>
    <w:rsid w:val="00F27F09"/>
    <w:rsid w:val="00F311CD"/>
    <w:rsid w:val="00F36835"/>
    <w:rsid w:val="00F45FDA"/>
    <w:rsid w:val="00F46609"/>
    <w:rsid w:val="00F62C49"/>
    <w:rsid w:val="00F81069"/>
    <w:rsid w:val="00F8325E"/>
    <w:rsid w:val="00F87C49"/>
    <w:rsid w:val="00F93D5E"/>
    <w:rsid w:val="00FC0A80"/>
    <w:rsid w:val="00FC1432"/>
    <w:rsid w:val="00FC149D"/>
    <w:rsid w:val="00FC4661"/>
    <w:rsid w:val="00FD6630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580"/>
  <w15:chartTrackingRefBased/>
  <w15:docId w15:val="{DEDD01DC-EC86-429C-9C96-95BDB13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8657-6FB3-4743-96FB-99AC919C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Gigabyte</cp:lastModifiedBy>
  <cp:revision>14</cp:revision>
  <cp:lastPrinted>2019-05-16T15:05:00Z</cp:lastPrinted>
  <dcterms:created xsi:type="dcterms:W3CDTF">2019-07-02T00:07:00Z</dcterms:created>
  <dcterms:modified xsi:type="dcterms:W3CDTF">2019-07-02T19:29:00Z</dcterms:modified>
</cp:coreProperties>
</file>